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A6" w:rsidRPr="00600970" w:rsidRDefault="002416B4" w:rsidP="00600970">
      <w:pPr>
        <w:rPr>
          <w:rFonts w:ascii="Tekton" w:hAnsi="Tekton"/>
          <w:b/>
          <w:sz w:val="48"/>
          <w:szCs w:val="4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106680</wp:posOffset>
                </wp:positionV>
                <wp:extent cx="916305" cy="1033780"/>
                <wp:effectExtent l="0" t="190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A6" w:rsidRDefault="002416B4">
                            <w:r>
                              <w:rPr>
                                <w:rFonts w:ascii="Tekton" w:hAnsi="Tekton"/>
                                <w:noProof/>
                                <w:sz w:val="48"/>
                                <w:szCs w:val="44"/>
                              </w:rPr>
                              <w:drawing>
                                <wp:inline distT="0" distB="0" distL="0" distR="0">
                                  <wp:extent cx="73342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8.4pt;width:72.15pt;height: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" stroked="f">
                <v:textbox style="mso-fit-shape-to-text:t">
                  <w:txbxContent>
                    <w:p w:rsidR="00E734A6" w:rsidRDefault="002416B4">
                      <w:r>
                        <w:rPr>
                          <w:rFonts w:ascii="Tekton" w:hAnsi="Tekton"/>
                          <w:noProof/>
                          <w:sz w:val="48"/>
                          <w:szCs w:val="44"/>
                        </w:rPr>
                        <w:drawing>
                          <wp:inline distT="0" distB="0" distL="0" distR="0">
                            <wp:extent cx="73342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4A6" w:rsidRPr="00CA1E31">
        <w:rPr>
          <w:rFonts w:ascii="Tekton" w:hAnsi="Tekton"/>
          <w:b/>
          <w:sz w:val="48"/>
          <w:szCs w:val="44"/>
        </w:rPr>
        <w:t xml:space="preserve">    </w:t>
      </w:r>
      <w:r w:rsidR="00E734A6">
        <w:rPr>
          <w:rFonts w:ascii="Tekton" w:hAnsi="Tekton"/>
          <w:b/>
          <w:sz w:val="48"/>
          <w:szCs w:val="44"/>
          <w:u w:val="single"/>
        </w:rPr>
        <w:t>S</w:t>
      </w:r>
      <w:r w:rsidR="00E734A6" w:rsidRPr="00600970">
        <w:rPr>
          <w:rFonts w:ascii="Tekton" w:hAnsi="Tekton"/>
          <w:b/>
          <w:sz w:val="48"/>
          <w:szCs w:val="44"/>
          <w:u w:val="single"/>
        </w:rPr>
        <w:t>chool Culture Surve</w:t>
      </w:r>
      <w:r w:rsidR="00E734A6">
        <w:rPr>
          <w:rFonts w:ascii="Tekton" w:hAnsi="Tekton"/>
          <w:b/>
          <w:sz w:val="48"/>
          <w:szCs w:val="44"/>
          <w:u w:val="single"/>
        </w:rPr>
        <w:t>y</w:t>
      </w:r>
      <w:r w:rsidR="00E734A6">
        <w:rPr>
          <w:rFonts w:ascii="Tekton" w:hAnsi="Tekton"/>
          <w:b/>
          <w:sz w:val="48"/>
          <w:szCs w:val="44"/>
          <w:u w:val="single"/>
        </w:rPr>
        <w:tab/>
      </w:r>
      <w:r w:rsidR="00E734A6">
        <w:rPr>
          <w:rFonts w:ascii="Tekton" w:hAnsi="Tekton"/>
          <w:b/>
          <w:sz w:val="48"/>
          <w:szCs w:val="44"/>
          <w:u w:val="single"/>
        </w:rPr>
        <w:tab/>
      </w:r>
      <w:r w:rsidR="00E734A6">
        <w:rPr>
          <w:rFonts w:ascii="Tekton" w:hAnsi="Tekton"/>
          <w:b/>
          <w:sz w:val="48"/>
          <w:szCs w:val="44"/>
          <w:u w:val="single"/>
        </w:rPr>
        <w:tab/>
      </w:r>
      <w:r w:rsidR="00E734A6">
        <w:rPr>
          <w:rFonts w:ascii="Tekton" w:hAnsi="Tekton"/>
          <w:b/>
          <w:sz w:val="48"/>
          <w:szCs w:val="44"/>
          <w:u w:val="single"/>
        </w:rPr>
        <w:tab/>
      </w:r>
      <w:r w:rsidR="00E734A6">
        <w:rPr>
          <w:rFonts w:ascii="Tekton" w:hAnsi="Tekton"/>
          <w:b/>
          <w:sz w:val="48"/>
          <w:szCs w:val="44"/>
          <w:u w:val="single"/>
        </w:rPr>
        <w:tab/>
      </w:r>
    </w:p>
    <w:p w:rsidR="00E734A6" w:rsidRPr="00BD77A6" w:rsidRDefault="00E734A6" w:rsidP="00600970">
      <w:pPr>
        <w:rPr>
          <w:rFonts w:ascii="Tekton" w:hAnsi="Tekton"/>
          <w:b/>
          <w:sz w:val="24"/>
          <w:szCs w:val="24"/>
        </w:rPr>
      </w:pPr>
      <w:r w:rsidRPr="00BD77A6">
        <w:rPr>
          <w:rFonts w:ascii="Tekton" w:hAnsi="Tekton"/>
          <w:b/>
          <w:sz w:val="24"/>
          <w:szCs w:val="24"/>
        </w:rPr>
        <w:t>D</w:t>
      </w:r>
      <w:r>
        <w:rPr>
          <w:rFonts w:ascii="Tekton" w:hAnsi="Tekton"/>
          <w:b/>
          <w:sz w:val="24"/>
          <w:szCs w:val="24"/>
        </w:rPr>
        <w:t xml:space="preserve">      D</w:t>
      </w:r>
      <w:r w:rsidRPr="00BD77A6">
        <w:rPr>
          <w:rFonts w:ascii="Tekton" w:hAnsi="Tekton"/>
          <w:b/>
          <w:sz w:val="24"/>
          <w:szCs w:val="24"/>
        </w:rPr>
        <w:t>irections:</w:t>
      </w:r>
    </w:p>
    <w:p w:rsidR="00E734A6" w:rsidRPr="00BD77A6" w:rsidRDefault="00E734A6" w:rsidP="00600970">
      <w:p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       </w:t>
      </w:r>
      <w:r w:rsidRPr="00BD77A6">
        <w:rPr>
          <w:rFonts w:ascii="Tekton" w:hAnsi="Tekton"/>
          <w:sz w:val="24"/>
          <w:szCs w:val="24"/>
        </w:rPr>
        <w:t>Rate each norm/value on the following scale:</w:t>
      </w:r>
    </w:p>
    <w:p w:rsidR="00E734A6" w:rsidRPr="00BD77A6" w:rsidRDefault="00E734A6" w:rsidP="00600970">
      <w:pPr>
        <w:ind w:left="540"/>
        <w:rPr>
          <w:rFonts w:ascii="Tekton" w:hAnsi="Tekton"/>
          <w:sz w:val="24"/>
          <w:szCs w:val="24"/>
        </w:rPr>
      </w:pPr>
      <w:r w:rsidRPr="00BD77A6">
        <w:rPr>
          <w:rFonts w:ascii="Tekton" w:hAnsi="Tekton"/>
          <w:sz w:val="24"/>
          <w:szCs w:val="24"/>
        </w:rPr>
        <w:t>1 = Almost always characteristic of our school</w:t>
      </w:r>
    </w:p>
    <w:p w:rsidR="00E734A6" w:rsidRPr="00BD77A6" w:rsidRDefault="00E734A6" w:rsidP="00600970">
      <w:pPr>
        <w:ind w:left="540"/>
        <w:rPr>
          <w:rFonts w:ascii="Tekton" w:hAnsi="Tekton"/>
          <w:sz w:val="24"/>
          <w:szCs w:val="24"/>
        </w:rPr>
      </w:pPr>
      <w:r w:rsidRPr="00BD77A6">
        <w:rPr>
          <w:rFonts w:ascii="Tekton" w:hAnsi="Tekton"/>
          <w:sz w:val="24"/>
          <w:szCs w:val="24"/>
        </w:rPr>
        <w:t>2 = Generally characteristic of our school</w:t>
      </w:r>
    </w:p>
    <w:p w:rsidR="00E734A6" w:rsidRPr="00BD77A6" w:rsidRDefault="00E734A6" w:rsidP="00600970">
      <w:pPr>
        <w:ind w:left="540"/>
        <w:rPr>
          <w:rFonts w:ascii="Tekton" w:hAnsi="Tekton"/>
          <w:sz w:val="24"/>
          <w:szCs w:val="24"/>
        </w:rPr>
      </w:pPr>
      <w:r w:rsidRPr="00BD77A6">
        <w:rPr>
          <w:rFonts w:ascii="Tekton" w:hAnsi="Tekton"/>
          <w:sz w:val="24"/>
          <w:szCs w:val="24"/>
        </w:rPr>
        <w:t>3 = Seldom characteristic of our school</w:t>
      </w:r>
    </w:p>
    <w:p w:rsidR="00E734A6" w:rsidRPr="00BD77A6" w:rsidRDefault="00E734A6" w:rsidP="00600970">
      <w:pPr>
        <w:ind w:left="540"/>
        <w:rPr>
          <w:rFonts w:ascii="Tekton" w:hAnsi="Tekton"/>
          <w:sz w:val="24"/>
          <w:szCs w:val="24"/>
        </w:rPr>
      </w:pPr>
      <w:r w:rsidRPr="00BD77A6">
        <w:rPr>
          <w:rFonts w:ascii="Tekton" w:hAnsi="Tekton"/>
          <w:sz w:val="24"/>
          <w:szCs w:val="24"/>
        </w:rPr>
        <w:t>4 = Not characteristic</w:t>
      </w:r>
      <w:r w:rsidRPr="00BD77A6">
        <w:rPr>
          <w:rFonts w:ascii="Tekton" w:hAnsi="Tekton"/>
          <w:sz w:val="24"/>
          <w:szCs w:val="24"/>
        </w:rPr>
        <w:tab/>
      </w:r>
      <w:r w:rsidRPr="00BD77A6">
        <w:rPr>
          <w:rFonts w:ascii="Tekton" w:hAnsi="Tekton"/>
          <w:sz w:val="24"/>
          <w:szCs w:val="24"/>
        </w:rPr>
        <w:tab/>
      </w:r>
      <w:r w:rsidRPr="00BD77A6">
        <w:rPr>
          <w:rFonts w:ascii="Tekton" w:hAnsi="Tekton"/>
          <w:sz w:val="24"/>
          <w:szCs w:val="24"/>
        </w:rPr>
        <w:tab/>
      </w:r>
      <w:r w:rsidRPr="00BD77A6">
        <w:rPr>
          <w:rFonts w:ascii="Tekton" w:hAnsi="Tekton"/>
          <w:sz w:val="24"/>
          <w:szCs w:val="24"/>
        </w:rPr>
        <w:tab/>
      </w:r>
      <w:r w:rsidRPr="00BD77A6">
        <w:rPr>
          <w:rFonts w:ascii="Tekton" w:hAnsi="Tekton"/>
          <w:sz w:val="24"/>
          <w:szCs w:val="24"/>
        </w:rPr>
        <w:tab/>
      </w:r>
      <w:r w:rsidRPr="00BD77A6">
        <w:rPr>
          <w:rFonts w:ascii="Tekton" w:hAnsi="Tekton"/>
          <w:sz w:val="24"/>
          <w:szCs w:val="24"/>
        </w:rPr>
        <w:tab/>
      </w:r>
    </w:p>
    <w:p w:rsidR="00E734A6" w:rsidRPr="00BD77A6" w:rsidRDefault="00E734A6" w:rsidP="00600970">
      <w:pPr>
        <w:ind w:left="540"/>
        <w:rPr>
          <w:rFonts w:ascii="Tekton" w:hAnsi="Tekton"/>
          <w:sz w:val="24"/>
          <w:szCs w:val="24"/>
        </w:rPr>
      </w:pPr>
    </w:p>
    <w:p w:rsidR="00E734A6" w:rsidRPr="00BD77A6" w:rsidRDefault="00E734A6" w:rsidP="00CA1E31">
      <w:pPr>
        <w:ind w:left="-720"/>
        <w:rPr>
          <w:rFonts w:ascii="Tekton" w:hAnsi="Tekton"/>
          <w:sz w:val="24"/>
          <w:szCs w:val="24"/>
        </w:rPr>
      </w:pPr>
      <w:r w:rsidRPr="00BD77A6">
        <w:rPr>
          <w:rFonts w:ascii="Tekton" w:hAnsi="Tekton"/>
          <w:sz w:val="24"/>
          <w:szCs w:val="24"/>
        </w:rPr>
        <w:t>For each norm/value, please provide a recent illustrative example of how that norm is demonstrated through individual or organizational behavior.</w:t>
      </w:r>
    </w:p>
    <w:p w:rsidR="00E734A6" w:rsidRPr="00625507" w:rsidRDefault="00E734A6" w:rsidP="00600970">
      <w:pPr>
        <w:rPr>
          <w:rFonts w:ascii="Tekton" w:hAnsi="Tekton"/>
          <w:sz w:val="16"/>
          <w:szCs w:val="24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1205"/>
        <w:gridCol w:w="5879"/>
      </w:tblGrid>
      <w:tr w:rsidR="00E734A6" w:rsidRPr="00600970" w:rsidTr="00BD77A6">
        <w:tc>
          <w:tcPr>
            <w:tcW w:w="4166" w:type="dxa"/>
            <w:shd w:val="clear" w:color="auto" w:fill="0C0C0C"/>
          </w:tcPr>
          <w:p w:rsidR="00E734A6" w:rsidRPr="00600970" w:rsidRDefault="00E734A6" w:rsidP="00600970">
            <w:pPr>
              <w:tabs>
                <w:tab w:val="left" w:pos="1920"/>
              </w:tabs>
              <w:jc w:val="center"/>
              <w:rPr>
                <w:rFonts w:ascii="Tekton" w:hAnsi="Tekton"/>
                <w:b/>
                <w:color w:val="FFFFFF"/>
                <w:sz w:val="28"/>
              </w:rPr>
            </w:pPr>
            <w:r w:rsidRPr="00600970">
              <w:rPr>
                <w:rFonts w:ascii="Tekton" w:hAnsi="Tekton"/>
                <w:b/>
                <w:color w:val="FFFFFF"/>
                <w:sz w:val="28"/>
              </w:rPr>
              <w:t>Norm/Value</w:t>
            </w:r>
          </w:p>
        </w:tc>
        <w:tc>
          <w:tcPr>
            <w:tcW w:w="1205" w:type="dxa"/>
            <w:shd w:val="clear" w:color="auto" w:fill="0C0C0C"/>
          </w:tcPr>
          <w:p w:rsidR="00E734A6" w:rsidRPr="00600970" w:rsidRDefault="00E734A6" w:rsidP="00600970">
            <w:pPr>
              <w:jc w:val="center"/>
              <w:rPr>
                <w:rFonts w:ascii="Tekton" w:hAnsi="Tekton"/>
                <w:b/>
                <w:color w:val="FFFFFF"/>
                <w:sz w:val="28"/>
              </w:rPr>
            </w:pPr>
            <w:r w:rsidRPr="00600970">
              <w:rPr>
                <w:rFonts w:ascii="Tekton" w:hAnsi="Tekton"/>
                <w:b/>
                <w:color w:val="FFFFFF"/>
                <w:sz w:val="28"/>
              </w:rPr>
              <w:t>Rating</w:t>
            </w:r>
          </w:p>
        </w:tc>
        <w:tc>
          <w:tcPr>
            <w:tcW w:w="5879" w:type="dxa"/>
            <w:shd w:val="clear" w:color="auto" w:fill="0C0C0C"/>
          </w:tcPr>
          <w:p w:rsidR="00E734A6" w:rsidRPr="00600970" w:rsidRDefault="00E734A6" w:rsidP="00600970">
            <w:pPr>
              <w:jc w:val="center"/>
              <w:rPr>
                <w:rFonts w:ascii="Tekton" w:hAnsi="Tekton"/>
                <w:b/>
                <w:color w:val="FFFFFF"/>
                <w:sz w:val="28"/>
              </w:rPr>
            </w:pPr>
            <w:r w:rsidRPr="00600970">
              <w:rPr>
                <w:rFonts w:ascii="Tekton" w:hAnsi="Tekton"/>
                <w:b/>
                <w:color w:val="FFFFFF"/>
                <w:sz w:val="28"/>
              </w:rPr>
              <w:t>Recent Illustrative Examples</w:t>
            </w:r>
          </w:p>
        </w:tc>
      </w:tr>
      <w:tr w:rsidR="00E734A6" w:rsidRPr="00BD77A6" w:rsidTr="00BD77A6">
        <w:tc>
          <w:tcPr>
            <w:tcW w:w="4166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Moral Purpose: </w:t>
            </w:r>
            <w:r w:rsidRPr="00BD77A6">
              <w:rPr>
                <w:rFonts w:ascii="Tekton" w:hAnsi="Tekton"/>
                <w:sz w:val="24"/>
              </w:rPr>
              <w:t>The school community is driven by a commitment to make a positive difference in the lives of students and their community.</w:t>
            </w:r>
          </w:p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</w:p>
        </w:tc>
        <w:tc>
          <w:tcPr>
            <w:tcW w:w="120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879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c>
          <w:tcPr>
            <w:tcW w:w="4166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Professional Learning Community</w:t>
            </w:r>
            <w:r w:rsidRPr="00BD77A6">
              <w:rPr>
                <w:rFonts w:ascii="Tekton" w:hAnsi="Tekton"/>
                <w:sz w:val="24"/>
              </w:rPr>
              <w:t>: Commitment to examining practice with a focus on improving student achievement.</w:t>
            </w:r>
          </w:p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</w:p>
        </w:tc>
        <w:tc>
          <w:tcPr>
            <w:tcW w:w="120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879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c>
          <w:tcPr>
            <w:tcW w:w="4166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Experimentation</w:t>
            </w:r>
            <w:r w:rsidRPr="00BD77A6">
              <w:rPr>
                <w:rFonts w:ascii="Tekton" w:hAnsi="Tekton"/>
                <w:sz w:val="24"/>
              </w:rPr>
              <w:t>: On-going professional development with an interest in trying new practices and evaluating the results.</w:t>
            </w:r>
          </w:p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</w:p>
        </w:tc>
        <w:tc>
          <w:tcPr>
            <w:tcW w:w="120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879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c>
          <w:tcPr>
            <w:tcW w:w="4166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High Expectations:</w:t>
            </w:r>
            <w:r w:rsidRPr="00BD77A6">
              <w:rPr>
                <w:rFonts w:ascii="Tekton" w:hAnsi="Tekton"/>
                <w:sz w:val="24"/>
              </w:rPr>
              <w:t xml:space="preserve"> A pervasive push for high standards-based performance for students and all staff, using multiple data sources to inform assessments and personnel processes.</w:t>
            </w:r>
          </w:p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</w:p>
        </w:tc>
        <w:tc>
          <w:tcPr>
            <w:tcW w:w="120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879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c>
          <w:tcPr>
            <w:tcW w:w="4166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Public Service: </w:t>
            </w:r>
            <w:r w:rsidRPr="00BD77A6">
              <w:rPr>
                <w:rFonts w:ascii="Tekton" w:hAnsi="Tekton"/>
                <w:sz w:val="24"/>
              </w:rPr>
              <w:t>Staff understands that their role is to serve the community. Staff respects and honors community values, culture, and contributions.</w:t>
            </w:r>
          </w:p>
        </w:tc>
        <w:tc>
          <w:tcPr>
            <w:tcW w:w="120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879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</w:tbl>
    <w:p w:rsidR="00E734A6" w:rsidRPr="00BD77A6" w:rsidRDefault="00E734A6" w:rsidP="00600970">
      <w:pPr>
        <w:rPr>
          <w:rFonts w:ascii="Tekton" w:hAnsi="Tekton"/>
          <w:sz w:val="24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1565"/>
        <w:gridCol w:w="5555"/>
      </w:tblGrid>
      <w:tr w:rsidR="00E734A6" w:rsidRPr="00BD77A6" w:rsidTr="00BD77A6">
        <w:trPr>
          <w:trHeight w:val="270"/>
        </w:trPr>
        <w:tc>
          <w:tcPr>
            <w:tcW w:w="4130" w:type="dxa"/>
            <w:shd w:val="clear" w:color="auto" w:fill="0C0C0C"/>
          </w:tcPr>
          <w:p w:rsidR="00E734A6" w:rsidRPr="00BD77A6" w:rsidRDefault="00E734A6" w:rsidP="00600970">
            <w:pPr>
              <w:tabs>
                <w:tab w:val="left" w:pos="1920"/>
              </w:tabs>
              <w:ind w:left="360"/>
              <w:jc w:val="center"/>
              <w:rPr>
                <w:rFonts w:ascii="Tekton" w:hAnsi="Tekton"/>
                <w:b/>
                <w:color w:val="FFFFFF"/>
                <w:sz w:val="24"/>
              </w:rPr>
            </w:pPr>
            <w:r w:rsidRPr="00BD77A6">
              <w:rPr>
                <w:rFonts w:ascii="Tekton" w:hAnsi="Tekton"/>
                <w:b/>
                <w:color w:val="FFFFFF"/>
                <w:sz w:val="24"/>
              </w:rPr>
              <w:t>Norm/Value</w:t>
            </w:r>
          </w:p>
        </w:tc>
        <w:tc>
          <w:tcPr>
            <w:tcW w:w="1565" w:type="dxa"/>
            <w:shd w:val="clear" w:color="auto" w:fill="0C0C0C"/>
          </w:tcPr>
          <w:p w:rsidR="00E734A6" w:rsidRPr="00BD77A6" w:rsidRDefault="00E734A6" w:rsidP="00600970">
            <w:pPr>
              <w:ind w:left="360"/>
              <w:jc w:val="center"/>
              <w:rPr>
                <w:rFonts w:ascii="Tekton" w:hAnsi="Tekton"/>
                <w:b/>
                <w:color w:val="FFFFFF"/>
                <w:sz w:val="24"/>
              </w:rPr>
            </w:pPr>
            <w:r w:rsidRPr="00BD77A6">
              <w:rPr>
                <w:rFonts w:ascii="Tekton" w:hAnsi="Tekton"/>
                <w:b/>
                <w:color w:val="FFFFFF"/>
                <w:sz w:val="24"/>
              </w:rPr>
              <w:t>Rating</w:t>
            </w:r>
          </w:p>
        </w:tc>
        <w:tc>
          <w:tcPr>
            <w:tcW w:w="5555" w:type="dxa"/>
            <w:shd w:val="clear" w:color="auto" w:fill="0C0C0C"/>
          </w:tcPr>
          <w:p w:rsidR="00E734A6" w:rsidRPr="00BD77A6" w:rsidRDefault="00E734A6" w:rsidP="00600970">
            <w:pPr>
              <w:ind w:left="360"/>
              <w:jc w:val="center"/>
              <w:rPr>
                <w:rFonts w:ascii="Tekton" w:hAnsi="Tekton"/>
                <w:b/>
                <w:color w:val="FFFFFF"/>
                <w:sz w:val="24"/>
              </w:rPr>
            </w:pPr>
            <w:r w:rsidRPr="00BD77A6">
              <w:rPr>
                <w:rFonts w:ascii="Tekton" w:hAnsi="Tekton"/>
                <w:b/>
                <w:color w:val="FFFFFF"/>
                <w:sz w:val="24"/>
              </w:rPr>
              <w:t>Recent Illustrative Examples</w:t>
            </w:r>
          </w:p>
        </w:tc>
      </w:tr>
      <w:tr w:rsidR="00E734A6" w:rsidRPr="00BD77A6" w:rsidTr="00BD77A6">
        <w:trPr>
          <w:trHeight w:val="1348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Trust and Confidence:</w:t>
            </w:r>
            <w:r w:rsidRPr="00BD77A6">
              <w:rPr>
                <w:rFonts w:ascii="Tekton" w:hAnsi="Tekton"/>
                <w:sz w:val="24"/>
              </w:rPr>
              <w:t xml:space="preserve"> A pervasive feeling that people will do what’s right between and across groups.  There is no “us v. them.”</w:t>
            </w:r>
          </w:p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099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Support for Personal and Professional Growth: </w:t>
            </w:r>
            <w:r w:rsidRPr="00BD77A6">
              <w:rPr>
                <w:rFonts w:ascii="Tekton" w:hAnsi="Tekton"/>
                <w:sz w:val="24"/>
              </w:rPr>
              <w:t>Individual coaching and mentoring are pervasive.</w:t>
            </w:r>
          </w:p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908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lastRenderedPageBreak/>
              <w:t>Tangible Support:</w:t>
            </w:r>
            <w:r w:rsidRPr="00BD77A6">
              <w:rPr>
                <w:rFonts w:ascii="Tekton" w:hAnsi="Tekton"/>
                <w:sz w:val="24"/>
              </w:rPr>
              <w:t xml:space="preserve"> Financial and material assistance aligned to the goals determined within a cycle of continuous improvement.  People have what they need to do their work.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348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Reaching Out to the Knowledge Base:</w:t>
            </w:r>
            <w:r w:rsidRPr="00BD77A6">
              <w:rPr>
                <w:rFonts w:ascii="Tekton" w:hAnsi="Tekton"/>
                <w:sz w:val="24"/>
              </w:rPr>
              <w:t xml:space="preserve"> Use of research, reading of professional journals, attending workshops.</w:t>
            </w:r>
          </w:p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639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Appreciation and Recognition:</w:t>
            </w:r>
            <w:r w:rsidRPr="00BD77A6">
              <w:rPr>
                <w:rFonts w:ascii="Tekton" w:hAnsi="Tekton"/>
                <w:sz w:val="24"/>
              </w:rPr>
              <w:t xml:space="preserve"> Acknowledgment of quality student and faculty work and effort.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929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Caring, Celebration, Humor: </w:t>
            </w:r>
            <w:r w:rsidRPr="00BD77A6">
              <w:rPr>
                <w:rFonts w:ascii="Tekton" w:hAnsi="Tekton"/>
                <w:sz w:val="24"/>
              </w:rPr>
              <w:t>There is a sense of community with shared purpose and joy.  Personal balance and health are values.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348"/>
        </w:trPr>
        <w:tc>
          <w:tcPr>
            <w:tcW w:w="4130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Appreciation of Leadership:</w:t>
            </w:r>
            <w:r w:rsidRPr="00BD77A6">
              <w:rPr>
                <w:rFonts w:ascii="Tekton" w:hAnsi="Tekton"/>
                <w:sz w:val="24"/>
              </w:rPr>
              <w:t xml:space="preserve"> Specifically, leadership provided by teachers, principals, and other professional staff.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5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</w:tbl>
    <w:p w:rsidR="00E734A6" w:rsidRPr="00BD77A6" w:rsidRDefault="00E734A6" w:rsidP="00600970">
      <w:pPr>
        <w:rPr>
          <w:rFonts w:ascii="Tekton" w:hAnsi="Tekton"/>
          <w:sz w:val="24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1565"/>
        <w:gridCol w:w="5548"/>
      </w:tblGrid>
      <w:tr w:rsidR="00E734A6" w:rsidRPr="00BD77A6" w:rsidTr="00BD77A6">
        <w:trPr>
          <w:trHeight w:val="350"/>
        </w:trPr>
        <w:tc>
          <w:tcPr>
            <w:tcW w:w="4137" w:type="dxa"/>
            <w:shd w:val="clear" w:color="auto" w:fill="0C0C0C"/>
          </w:tcPr>
          <w:p w:rsidR="00E734A6" w:rsidRPr="00BD77A6" w:rsidRDefault="00E734A6" w:rsidP="00600970">
            <w:pPr>
              <w:ind w:left="360"/>
              <w:jc w:val="center"/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color w:val="FFFFFF"/>
                <w:sz w:val="24"/>
              </w:rPr>
              <w:t>Norm/Value</w:t>
            </w:r>
          </w:p>
        </w:tc>
        <w:tc>
          <w:tcPr>
            <w:tcW w:w="1565" w:type="dxa"/>
            <w:shd w:val="clear" w:color="auto" w:fill="0C0C0C"/>
          </w:tcPr>
          <w:p w:rsidR="00E734A6" w:rsidRPr="00BD77A6" w:rsidRDefault="00E734A6" w:rsidP="00600970">
            <w:pPr>
              <w:ind w:left="360"/>
              <w:jc w:val="center"/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color w:val="FFFFFF"/>
                <w:sz w:val="24"/>
              </w:rPr>
              <w:t>Rating</w:t>
            </w:r>
          </w:p>
        </w:tc>
        <w:tc>
          <w:tcPr>
            <w:tcW w:w="5548" w:type="dxa"/>
            <w:shd w:val="clear" w:color="auto" w:fill="0C0C0C"/>
          </w:tcPr>
          <w:p w:rsidR="00E734A6" w:rsidRPr="00BD77A6" w:rsidRDefault="00E734A6" w:rsidP="00600970">
            <w:pPr>
              <w:ind w:left="360"/>
              <w:jc w:val="center"/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color w:val="FFFFFF"/>
                <w:sz w:val="24"/>
              </w:rPr>
              <w:t>Recent Illustrative Examples</w:t>
            </w:r>
          </w:p>
        </w:tc>
      </w:tr>
      <w:tr w:rsidR="00E734A6" w:rsidRPr="00BD77A6" w:rsidTr="00BD77A6">
        <w:trPr>
          <w:trHeight w:val="1348"/>
        </w:trPr>
        <w:tc>
          <w:tcPr>
            <w:tcW w:w="4137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Clarity of Goals and Outcomes: </w:t>
            </w:r>
            <w:r w:rsidRPr="00BD77A6">
              <w:rPr>
                <w:rFonts w:ascii="Tekton" w:hAnsi="Tekton"/>
                <w:sz w:val="24"/>
              </w:rPr>
              <w:t>There is a coherent</w:t>
            </w:r>
            <w:r w:rsidRPr="00BD77A6">
              <w:rPr>
                <w:rFonts w:ascii="Tekton" w:hAnsi="Tekton"/>
                <w:b/>
                <w:sz w:val="24"/>
              </w:rPr>
              <w:t xml:space="preserve"> </w:t>
            </w:r>
            <w:r w:rsidRPr="00BD77A6">
              <w:rPr>
                <w:rFonts w:ascii="Tekton" w:hAnsi="Tekton"/>
                <w:sz w:val="24"/>
              </w:rPr>
              <w:t>vision and action plan tied to measurable goals that members of the community can articulate and relate to their own work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48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390"/>
        </w:trPr>
        <w:tc>
          <w:tcPr>
            <w:tcW w:w="4137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Protection of What’s Important: </w:t>
            </w:r>
            <w:r w:rsidRPr="00BD77A6">
              <w:rPr>
                <w:rFonts w:ascii="Tekton" w:hAnsi="Tekton"/>
                <w:sz w:val="24"/>
              </w:rPr>
              <w:t>School goals, priorities and core cultural values.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48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908"/>
        </w:trPr>
        <w:tc>
          <w:tcPr>
            <w:tcW w:w="4137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Involvement of </w:t>
            </w:r>
          </w:p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Stakeholders in Decision Making</w:t>
            </w:r>
            <w:r w:rsidRPr="00BD77A6">
              <w:rPr>
                <w:rFonts w:ascii="Tekton" w:hAnsi="Tekton"/>
                <w:sz w:val="24"/>
              </w:rPr>
              <w:t>: Those who will be affected by decisions are involved in making them; diverse points-of-view are included and honored.</w:t>
            </w:r>
          </w:p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48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1079"/>
        </w:trPr>
        <w:tc>
          <w:tcPr>
            <w:tcW w:w="4137" w:type="dxa"/>
          </w:tcPr>
          <w:p w:rsidR="00E734A6" w:rsidRPr="00BD77A6" w:rsidRDefault="00E734A6" w:rsidP="00600970">
            <w:pPr>
              <w:rPr>
                <w:rFonts w:ascii="Tekton" w:hAnsi="Tekton"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>Traditions</w:t>
            </w:r>
            <w:r w:rsidRPr="00BD77A6">
              <w:rPr>
                <w:rFonts w:ascii="Tekton" w:hAnsi="Tekton"/>
                <w:sz w:val="24"/>
              </w:rPr>
              <w:t>: Rituals and events that celebrate and support core school and community values.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48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BD77A6" w:rsidTr="00BD77A6">
        <w:trPr>
          <w:trHeight w:val="2468"/>
        </w:trPr>
        <w:tc>
          <w:tcPr>
            <w:tcW w:w="4137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lastRenderedPageBreak/>
              <w:t xml:space="preserve">Honest, Open </w:t>
            </w:r>
          </w:p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Communication: </w:t>
            </w:r>
            <w:r w:rsidRPr="00BD77A6">
              <w:rPr>
                <w:rFonts w:ascii="Tekton" w:hAnsi="Tekton"/>
                <w:sz w:val="24"/>
              </w:rPr>
              <w:t>Teaching and learning is public practice with multiple opportunities for peer and administrative observation and feedback. Coaching and feedback are valued among all practitioners.</w:t>
            </w:r>
          </w:p>
        </w:tc>
        <w:tc>
          <w:tcPr>
            <w:tcW w:w="1565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  <w:tc>
          <w:tcPr>
            <w:tcW w:w="5548" w:type="dxa"/>
          </w:tcPr>
          <w:p w:rsidR="00E734A6" w:rsidRPr="00BD77A6" w:rsidRDefault="00E734A6" w:rsidP="00600970">
            <w:pPr>
              <w:ind w:left="360"/>
              <w:rPr>
                <w:rFonts w:ascii="Tekton" w:hAnsi="Tekton"/>
                <w:sz w:val="24"/>
              </w:rPr>
            </w:pPr>
          </w:p>
        </w:tc>
      </w:tr>
      <w:tr w:rsidR="00E734A6" w:rsidRPr="00600970" w:rsidTr="00BD77A6">
        <w:trPr>
          <w:trHeight w:val="2738"/>
        </w:trPr>
        <w:tc>
          <w:tcPr>
            <w:tcW w:w="4137" w:type="dxa"/>
          </w:tcPr>
          <w:p w:rsidR="00E734A6" w:rsidRPr="00BD77A6" w:rsidRDefault="00E734A6" w:rsidP="00600970">
            <w:pPr>
              <w:rPr>
                <w:rFonts w:ascii="Tekton" w:hAnsi="Tekton"/>
                <w:b/>
                <w:sz w:val="24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Willingness to </w:t>
            </w:r>
          </w:p>
          <w:p w:rsidR="00E734A6" w:rsidRPr="00600970" w:rsidRDefault="00E734A6" w:rsidP="00600970">
            <w:pPr>
              <w:rPr>
                <w:rFonts w:ascii="Tekton" w:hAnsi="Tekton"/>
                <w:b/>
                <w:sz w:val="28"/>
              </w:rPr>
            </w:pPr>
            <w:r w:rsidRPr="00BD77A6">
              <w:rPr>
                <w:rFonts w:ascii="Tekton" w:hAnsi="Tekton"/>
                <w:b/>
                <w:sz w:val="24"/>
              </w:rPr>
              <w:t xml:space="preserve">Confront the “Brutal Facts”: </w:t>
            </w:r>
            <w:r w:rsidRPr="00BD77A6">
              <w:rPr>
                <w:rFonts w:ascii="Tekton" w:hAnsi="Tekton"/>
                <w:sz w:val="24"/>
              </w:rPr>
              <w:t>A pervasive culture in which multiple data sources are used to expose student achievement gaps as well as gaps in instructional expertise, within the context of fostering “critical friendships.”</w:t>
            </w:r>
          </w:p>
        </w:tc>
        <w:tc>
          <w:tcPr>
            <w:tcW w:w="1565" w:type="dxa"/>
          </w:tcPr>
          <w:p w:rsidR="00E734A6" w:rsidRPr="00600970" w:rsidRDefault="00E734A6" w:rsidP="00600970">
            <w:pPr>
              <w:ind w:left="360"/>
              <w:rPr>
                <w:rFonts w:ascii="Tekton" w:hAnsi="Tekton"/>
                <w:sz w:val="28"/>
              </w:rPr>
            </w:pPr>
          </w:p>
        </w:tc>
        <w:tc>
          <w:tcPr>
            <w:tcW w:w="5548" w:type="dxa"/>
          </w:tcPr>
          <w:p w:rsidR="00E734A6" w:rsidRPr="00600970" w:rsidRDefault="00E734A6" w:rsidP="00600970">
            <w:pPr>
              <w:ind w:left="360"/>
              <w:rPr>
                <w:rFonts w:ascii="Tekton" w:hAnsi="Tekton"/>
                <w:sz w:val="28"/>
              </w:rPr>
            </w:pPr>
          </w:p>
        </w:tc>
      </w:tr>
    </w:tbl>
    <w:p w:rsidR="00E734A6" w:rsidRPr="00600970" w:rsidRDefault="00E734A6">
      <w:pPr>
        <w:rPr>
          <w:rFonts w:ascii="Tekton" w:hAnsi="Tekton"/>
          <w:sz w:val="28"/>
        </w:rPr>
      </w:pPr>
    </w:p>
    <w:sectPr w:rsidR="00E734A6" w:rsidRPr="00600970" w:rsidSect="00AC0303">
      <w:headerReference w:type="default" r:id="rId8"/>
      <w:pgSz w:w="12240" w:h="15840"/>
      <w:pgMar w:top="-270" w:right="720" w:bottom="360" w:left="1440" w:header="4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A6" w:rsidRDefault="00E734A6" w:rsidP="00AC0328">
      <w:r>
        <w:separator/>
      </w:r>
    </w:p>
  </w:endnote>
  <w:endnote w:type="continuationSeparator" w:id="0">
    <w:p w:rsidR="00E734A6" w:rsidRDefault="00E734A6" w:rsidP="00AC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A6" w:rsidRDefault="00E734A6" w:rsidP="00AC0328">
      <w:r>
        <w:separator/>
      </w:r>
    </w:p>
  </w:footnote>
  <w:footnote w:type="continuationSeparator" w:id="0">
    <w:p w:rsidR="00E734A6" w:rsidRDefault="00E734A6" w:rsidP="00AC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A6" w:rsidRDefault="00E734A6" w:rsidP="00600970">
    <w:pPr>
      <w:pStyle w:val="Header"/>
      <w:tabs>
        <w:tab w:val="left" w:pos="1080"/>
      </w:tabs>
    </w:pPr>
  </w:p>
  <w:p w:rsidR="00E734A6" w:rsidRDefault="00E734A6" w:rsidP="00600970">
    <w:pPr>
      <w:pStyle w:val="Header"/>
      <w:tabs>
        <w:tab w:val="left" w:pos="1080"/>
      </w:tabs>
    </w:pPr>
  </w:p>
  <w:p w:rsidR="00E734A6" w:rsidRDefault="00E734A6" w:rsidP="00600970">
    <w:pPr>
      <w:pStyle w:val="Header"/>
      <w:tabs>
        <w:tab w:val="left" w:pos="108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0"/>
    <w:rsid w:val="002416B4"/>
    <w:rsid w:val="005E26FB"/>
    <w:rsid w:val="00600970"/>
    <w:rsid w:val="00625507"/>
    <w:rsid w:val="008B767C"/>
    <w:rsid w:val="00A72B10"/>
    <w:rsid w:val="00AC0303"/>
    <w:rsid w:val="00AC0328"/>
    <w:rsid w:val="00B74741"/>
    <w:rsid w:val="00B841D5"/>
    <w:rsid w:val="00BD77A6"/>
    <w:rsid w:val="00CA1E31"/>
    <w:rsid w:val="00E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7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0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970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00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970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7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0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970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00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97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School Culture Survey</vt:lpstr>
    </vt:vector>
  </TitlesOfParts>
  <Company>New Teacher Center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Culture Survey</dc:title>
  <dc:creator>NTC Staff</dc:creator>
  <cp:lastModifiedBy>Ciganek, Ericka</cp:lastModifiedBy>
  <cp:revision>2</cp:revision>
  <cp:lastPrinted>2011-05-10T22:34:00Z</cp:lastPrinted>
  <dcterms:created xsi:type="dcterms:W3CDTF">2015-08-13T16:05:00Z</dcterms:created>
  <dcterms:modified xsi:type="dcterms:W3CDTF">2015-08-13T16:05:00Z</dcterms:modified>
</cp:coreProperties>
</file>