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F3" w:rsidRPr="004B2856" w:rsidRDefault="00A35CD6" w:rsidP="005424F3">
      <w:pPr>
        <w:pStyle w:val="NormalWeb"/>
        <w:rPr>
          <w:rFonts w:ascii="Cambria" w:hAnsi="Cambria"/>
          <w:color w:val="984806" w:themeColor="accent6" w:themeShade="80"/>
          <w:sz w:val="36"/>
          <w:szCs w:val="36"/>
        </w:rPr>
      </w:pPr>
      <w:r w:rsidRPr="004B2856">
        <w:rPr>
          <w:rStyle w:val="Emphasis"/>
          <w:rFonts w:ascii="Cambria" w:hAnsi="Cambria"/>
          <w:color w:val="984806" w:themeColor="accent6" w:themeShade="80"/>
          <w:sz w:val="36"/>
          <w:szCs w:val="36"/>
        </w:rPr>
        <w:t>Transition Checklist for Outgoing 21st CCLC Site Leaders</w:t>
      </w:r>
    </w:p>
    <w:p w:rsidR="00BF3D05" w:rsidRPr="00BF3D05" w:rsidRDefault="00BF3D05" w:rsidP="005424F3">
      <w:pPr>
        <w:pStyle w:val="NormalWeb"/>
        <w:rPr>
          <w:rFonts w:ascii="Cambria" w:hAnsi="Cambria"/>
          <w:color w:val="000000"/>
        </w:rPr>
      </w:pPr>
    </w:p>
    <w:p w:rsidR="00BF3D05" w:rsidRPr="008115D4" w:rsidRDefault="00BF3D05" w:rsidP="008115D4">
      <w:pPr>
        <w:pStyle w:val="NormalWeb"/>
        <w:rPr>
          <w:rFonts w:ascii="Cambria" w:eastAsia="Times New Roman" w:hAnsi="Cambria"/>
          <w:color w:val="000000"/>
          <w:sz w:val="20"/>
          <w:szCs w:val="20"/>
        </w:rPr>
      </w:pPr>
      <w:r w:rsidRPr="00811C42">
        <w:rPr>
          <w:rFonts w:ascii="Cambria" w:hAnsi="Cambria"/>
          <w:color w:val="000000"/>
          <w:u w:val="single"/>
        </w:rPr>
        <w:t>Purpose</w:t>
      </w:r>
      <w:r w:rsidR="00811C42">
        <w:rPr>
          <w:rFonts w:ascii="Cambria" w:hAnsi="Cambria"/>
          <w:color w:val="000000"/>
        </w:rPr>
        <w:t xml:space="preserve">:  </w:t>
      </w:r>
      <w:r w:rsidRPr="00BF3D05">
        <w:rPr>
          <w:rFonts w:ascii="Cambria" w:eastAsia="Times New Roman" w:hAnsi="Cambria"/>
          <w:color w:val="000000"/>
        </w:rPr>
        <w:t xml:space="preserve">When </w:t>
      </w:r>
      <w:r w:rsidRPr="00BF3D05">
        <w:rPr>
          <w:rFonts w:ascii="Cambria" w:eastAsia="Times New Roman" w:hAnsi="Cambria"/>
        </w:rPr>
        <w:t xml:space="preserve">the </w:t>
      </w:r>
      <w:r w:rsidRPr="00BF3D05">
        <w:rPr>
          <w:rFonts w:ascii="Cambria" w:eastAsia="Times New Roman" w:hAnsi="Cambria"/>
          <w:b/>
          <w:sz w:val="28"/>
          <w:szCs w:val="28"/>
        </w:rPr>
        <w:t>P</w:t>
      </w:r>
      <w:r w:rsidRPr="00BF3D05">
        <w:rPr>
          <w:rFonts w:ascii="Cambria" w:eastAsia="Times New Roman" w:hAnsi="Cambria"/>
        </w:rPr>
        <w:t xml:space="preserve">erson </w:t>
      </w:r>
      <w:r w:rsidRPr="00BF3D05">
        <w:rPr>
          <w:rFonts w:ascii="Cambria" w:eastAsia="Times New Roman" w:hAnsi="Cambria"/>
          <w:b/>
          <w:sz w:val="28"/>
          <w:szCs w:val="28"/>
        </w:rPr>
        <w:t>W</w:t>
      </w:r>
      <w:r w:rsidRPr="00BF3D05">
        <w:rPr>
          <w:rFonts w:ascii="Cambria" w:eastAsia="Times New Roman" w:hAnsi="Cambria"/>
        </w:rPr>
        <w:t xml:space="preserve">ho </w:t>
      </w:r>
      <w:r w:rsidRPr="00BF3D05">
        <w:rPr>
          <w:rFonts w:ascii="Cambria" w:eastAsia="Times New Roman" w:hAnsi="Cambria"/>
          <w:b/>
          <w:sz w:val="28"/>
          <w:szCs w:val="28"/>
        </w:rPr>
        <w:t>K</w:t>
      </w:r>
      <w:r w:rsidRPr="00BF3D05">
        <w:rPr>
          <w:rFonts w:ascii="Cambria" w:eastAsia="Times New Roman" w:hAnsi="Cambria"/>
        </w:rPr>
        <w:t xml:space="preserve">nows the </w:t>
      </w:r>
      <w:r w:rsidRPr="00BF3D05">
        <w:rPr>
          <w:rFonts w:ascii="Cambria" w:eastAsia="Times New Roman" w:hAnsi="Cambria"/>
          <w:b/>
          <w:sz w:val="28"/>
          <w:szCs w:val="28"/>
        </w:rPr>
        <w:t>J</w:t>
      </w:r>
      <w:r w:rsidRPr="00BF3D05">
        <w:rPr>
          <w:rFonts w:ascii="Cambria" w:eastAsia="Times New Roman" w:hAnsi="Cambria"/>
        </w:rPr>
        <w:t>ob</w:t>
      </w:r>
      <w:r w:rsidRPr="00BF3D05">
        <w:rPr>
          <w:rFonts w:ascii="Cambria" w:eastAsia="Times New Roman" w:hAnsi="Cambria"/>
          <w:sz w:val="27"/>
          <w:szCs w:val="27"/>
        </w:rPr>
        <w:t xml:space="preserve"> </w:t>
      </w:r>
      <w:r w:rsidRPr="00BF3D05">
        <w:rPr>
          <w:rFonts w:ascii="Cambria" w:eastAsia="Times New Roman" w:hAnsi="Cambria"/>
        </w:rPr>
        <w:t>leaves</w:t>
      </w:r>
      <w:r w:rsidRPr="00BF3D05">
        <w:rPr>
          <w:rFonts w:ascii="Cambria" w:eastAsia="Times New Roman" w:hAnsi="Cambria"/>
          <w:color w:val="000000"/>
        </w:rPr>
        <w:t xml:space="preserve"> their </w:t>
      </w:r>
      <w:r w:rsidR="008115D4">
        <w:rPr>
          <w:rFonts w:ascii="Cambria" w:hAnsi="Cambria"/>
        </w:rPr>
        <w:t>21</w:t>
      </w:r>
      <w:r w:rsidR="008115D4" w:rsidRPr="00A85FE0">
        <w:rPr>
          <w:rFonts w:ascii="Cambria" w:hAnsi="Cambria"/>
          <w:vertAlign w:val="superscript"/>
        </w:rPr>
        <w:t>st</w:t>
      </w:r>
      <w:r w:rsidR="008115D4">
        <w:rPr>
          <w:rFonts w:ascii="Cambria" w:hAnsi="Cambria"/>
        </w:rPr>
        <w:t xml:space="preserve"> Century Community Learning Centers (</w:t>
      </w:r>
      <w:r w:rsidR="008115D4" w:rsidRPr="00BF3D05">
        <w:rPr>
          <w:rFonts w:ascii="Cambria" w:eastAsia="Times New Roman" w:hAnsi="Cambria"/>
          <w:color w:val="000000"/>
        </w:rPr>
        <w:t>21</w:t>
      </w:r>
      <w:r w:rsidR="008115D4" w:rsidRPr="00BF3D05">
        <w:rPr>
          <w:rFonts w:ascii="Cambria" w:eastAsia="Times New Roman" w:hAnsi="Cambria"/>
          <w:color w:val="000000"/>
          <w:vertAlign w:val="superscript"/>
        </w:rPr>
        <w:t>st</w:t>
      </w:r>
      <w:r w:rsidR="008115D4" w:rsidRPr="00BF3D05">
        <w:rPr>
          <w:rFonts w:ascii="Cambria" w:eastAsia="Times New Roman" w:hAnsi="Cambria"/>
          <w:color w:val="000000"/>
        </w:rPr>
        <w:t xml:space="preserve"> CCLC</w:t>
      </w:r>
      <w:r w:rsidR="008115D4">
        <w:rPr>
          <w:rFonts w:ascii="Cambria" w:eastAsia="Times New Roman" w:hAnsi="Cambria"/>
          <w:color w:val="000000"/>
        </w:rPr>
        <w:t>)</w:t>
      </w:r>
      <w:r w:rsidR="008115D4">
        <w:rPr>
          <w:rFonts w:ascii="Cambria" w:hAnsi="Cambria"/>
        </w:rPr>
        <w:t xml:space="preserve"> grant </w:t>
      </w:r>
      <w:r w:rsidR="008115D4" w:rsidRPr="00BF3D05">
        <w:rPr>
          <w:rFonts w:ascii="Cambria" w:eastAsia="Times New Roman" w:hAnsi="Cambria"/>
          <w:color w:val="000000"/>
        </w:rPr>
        <w:t>position</w:t>
      </w:r>
      <w:r w:rsidRPr="00BF3D05">
        <w:rPr>
          <w:rFonts w:ascii="Cambria" w:eastAsia="Times New Roman" w:hAnsi="Cambria"/>
          <w:color w:val="000000"/>
        </w:rPr>
        <w:t xml:space="preserve">, this checklist will </w:t>
      </w:r>
    </w:p>
    <w:p w:rsidR="00BF3D05" w:rsidRPr="00BF3D05" w:rsidRDefault="00BF3D05" w:rsidP="00BF3D05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/>
          <w:color w:val="000000"/>
          <w:sz w:val="28"/>
          <w:szCs w:val="28"/>
        </w:rPr>
      </w:pPr>
      <w:r w:rsidRPr="00BF3D05">
        <w:rPr>
          <w:rFonts w:ascii="Cambria" w:eastAsia="Times New Roman" w:hAnsi="Cambria"/>
          <w:color w:val="000000"/>
          <w:sz w:val="24"/>
          <w:szCs w:val="24"/>
        </w:rPr>
        <w:t>help leaders leaving a 21st CCLC grant position to make sure they are leaving behind everything necessary for the people who follow them</w:t>
      </w:r>
      <w:r w:rsidR="00094EE9">
        <w:rPr>
          <w:rFonts w:ascii="Cambria" w:eastAsia="Times New Roman" w:hAnsi="Cambria"/>
          <w:color w:val="000000"/>
          <w:sz w:val="24"/>
          <w:szCs w:val="24"/>
        </w:rPr>
        <w:t xml:space="preserve"> and</w:t>
      </w:r>
    </w:p>
    <w:p w:rsidR="007110BD" w:rsidRDefault="00BF3D05" w:rsidP="007110BD">
      <w:pPr>
        <w:numPr>
          <w:ilvl w:val="0"/>
          <w:numId w:val="1"/>
        </w:numPr>
        <w:spacing w:before="100" w:beforeAutospacing="1"/>
        <w:rPr>
          <w:rFonts w:ascii="Cambria" w:eastAsia="Times New Roman" w:hAnsi="Cambria" w:cs="Tahoma"/>
          <w:color w:val="000000"/>
          <w:sz w:val="24"/>
          <w:szCs w:val="24"/>
        </w:rPr>
      </w:pPr>
      <w:proofErr w:type="gramStart"/>
      <w:r w:rsidRPr="00BF3D05">
        <w:rPr>
          <w:rFonts w:ascii="Cambria" w:eastAsia="Times New Roman" w:hAnsi="Cambria"/>
          <w:color w:val="000000"/>
          <w:sz w:val="24"/>
          <w:szCs w:val="24"/>
        </w:rPr>
        <w:t>help</w:t>
      </w:r>
      <w:proofErr w:type="gramEnd"/>
      <w:r w:rsidRPr="00BF3D05">
        <w:rPr>
          <w:rFonts w:ascii="Cambria" w:eastAsia="Times New Roman" w:hAnsi="Cambria"/>
          <w:color w:val="000000"/>
          <w:sz w:val="24"/>
          <w:szCs w:val="24"/>
        </w:rPr>
        <w:t xml:space="preserve"> people supervising these outgoing leaders to perform an exit interview, so all </w:t>
      </w:r>
      <w:r w:rsidRPr="006C0DB0">
        <w:rPr>
          <w:rFonts w:ascii="Cambria" w:eastAsia="Times New Roman" w:hAnsi="Cambria"/>
          <w:color w:val="000000"/>
          <w:sz w:val="24"/>
          <w:szCs w:val="24"/>
        </w:rPr>
        <w:t>the</w:t>
      </w:r>
      <w:r w:rsidRPr="006C0DB0">
        <w:rPr>
          <w:rFonts w:ascii="Cambria" w:eastAsia="Times New Roman" w:hAnsi="Cambria" w:cs="Tahoma"/>
          <w:color w:val="000000"/>
          <w:sz w:val="24"/>
          <w:szCs w:val="24"/>
        </w:rPr>
        <w:t xml:space="preserve"> items can be checked... BEFORE the person is gone.</w:t>
      </w:r>
    </w:p>
    <w:p w:rsidR="007110BD" w:rsidRPr="007110BD" w:rsidRDefault="007110BD" w:rsidP="007110BD">
      <w:pPr>
        <w:spacing w:before="100" w:beforeAutospacing="1"/>
        <w:ind w:left="720"/>
        <w:rPr>
          <w:rFonts w:ascii="Cambria" w:eastAsia="Times New Roman" w:hAnsi="Cambria" w:cs="Tahom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766"/>
        <w:gridCol w:w="1596"/>
        <w:gridCol w:w="1596"/>
      </w:tblGrid>
      <w:tr w:rsidR="00147FF8" w:rsidTr="00FD604F">
        <w:trPr>
          <w:trHeight w:val="183"/>
        </w:trPr>
        <w:tc>
          <w:tcPr>
            <w:tcW w:w="3618" w:type="dxa"/>
            <w:vMerge w:val="restart"/>
          </w:tcPr>
          <w:p w:rsidR="00147FF8" w:rsidRPr="004B2856" w:rsidRDefault="00147FF8" w:rsidP="006C0DB0">
            <w:pPr>
              <w:pStyle w:val="NormalWeb"/>
              <w:rPr>
                <w:rFonts w:ascii="Cambria" w:hAnsi="Cambria" w:cs="Tahoma"/>
                <w:b/>
                <w:color w:val="984806" w:themeColor="accent6" w:themeShade="80"/>
              </w:rPr>
            </w:pPr>
            <w:r w:rsidRPr="004B2856">
              <w:rPr>
                <w:rFonts w:ascii="Cambria" w:hAnsi="Cambria" w:cs="Tahoma"/>
                <w:b/>
                <w:color w:val="984806" w:themeColor="accent6" w:themeShade="80"/>
              </w:rPr>
              <w:t>Documentation</w:t>
            </w:r>
          </w:p>
        </w:tc>
        <w:tc>
          <w:tcPr>
            <w:tcW w:w="2766" w:type="dxa"/>
            <w:vMerge w:val="restart"/>
          </w:tcPr>
          <w:p w:rsidR="00147FF8" w:rsidRPr="004B2856" w:rsidRDefault="00147FF8" w:rsidP="00147FF8">
            <w:pPr>
              <w:pStyle w:val="NormalWeb"/>
              <w:rPr>
                <w:rFonts w:ascii="Cambria" w:hAnsi="Cambria" w:cs="Tahoma"/>
                <w:b/>
                <w:color w:val="984806" w:themeColor="accent6" w:themeShade="80"/>
              </w:rPr>
            </w:pPr>
            <w:r w:rsidRPr="004B2856">
              <w:rPr>
                <w:rFonts w:ascii="Cambria" w:hAnsi="Cambria" w:cs="Tahoma"/>
                <w:b/>
                <w:color w:val="984806" w:themeColor="accent6" w:themeShade="80"/>
              </w:rPr>
              <w:t>Location</w:t>
            </w:r>
          </w:p>
        </w:tc>
        <w:tc>
          <w:tcPr>
            <w:tcW w:w="3192" w:type="dxa"/>
            <w:gridSpan w:val="2"/>
          </w:tcPr>
          <w:p w:rsidR="00147FF8" w:rsidRPr="004B2856" w:rsidRDefault="00147FF8" w:rsidP="00147FF8">
            <w:pPr>
              <w:pStyle w:val="NormalWeb"/>
              <w:jc w:val="center"/>
              <w:rPr>
                <w:rFonts w:ascii="Cambria" w:hAnsi="Cambria" w:cs="Tahoma"/>
                <w:b/>
                <w:color w:val="984806" w:themeColor="accent6" w:themeShade="80"/>
              </w:rPr>
            </w:pPr>
            <w:r w:rsidRPr="004B2856">
              <w:rPr>
                <w:rFonts w:ascii="Cambria" w:hAnsi="Cambria" w:cs="Tahoma"/>
                <w:b/>
                <w:color w:val="984806" w:themeColor="accent6" w:themeShade="80"/>
              </w:rPr>
              <w:t>Reviewed with –</w:t>
            </w:r>
          </w:p>
        </w:tc>
      </w:tr>
      <w:tr w:rsidR="00147FF8" w:rsidTr="00BD40A7">
        <w:trPr>
          <w:trHeight w:val="183"/>
        </w:trPr>
        <w:tc>
          <w:tcPr>
            <w:tcW w:w="3618" w:type="dxa"/>
            <w:vMerge/>
          </w:tcPr>
          <w:p w:rsidR="00147FF8" w:rsidRPr="004B2856" w:rsidRDefault="00147FF8" w:rsidP="006C0DB0">
            <w:pPr>
              <w:pStyle w:val="NormalWeb"/>
              <w:rPr>
                <w:rFonts w:ascii="Cambria" w:hAnsi="Cambria" w:cs="Tahoma"/>
                <w:b/>
                <w:color w:val="984806" w:themeColor="accent6" w:themeShade="80"/>
              </w:rPr>
            </w:pPr>
          </w:p>
        </w:tc>
        <w:tc>
          <w:tcPr>
            <w:tcW w:w="2766" w:type="dxa"/>
            <w:vMerge/>
          </w:tcPr>
          <w:p w:rsidR="00147FF8" w:rsidRPr="004B2856" w:rsidRDefault="00147FF8" w:rsidP="006C0DB0">
            <w:pPr>
              <w:pStyle w:val="NormalWeb"/>
              <w:rPr>
                <w:rFonts w:ascii="Cambria" w:hAnsi="Cambria" w:cs="Tahoma"/>
                <w:color w:val="984806" w:themeColor="accent6" w:themeShade="80"/>
              </w:rPr>
            </w:pPr>
          </w:p>
        </w:tc>
        <w:tc>
          <w:tcPr>
            <w:tcW w:w="1596" w:type="dxa"/>
          </w:tcPr>
          <w:p w:rsidR="00147FF8" w:rsidRPr="004B2856" w:rsidRDefault="00147FF8" w:rsidP="00147FF8">
            <w:pPr>
              <w:pStyle w:val="NormalWeb"/>
              <w:jc w:val="center"/>
              <w:rPr>
                <w:rFonts w:ascii="Cambria" w:hAnsi="Cambria" w:cs="Tahoma"/>
                <w:color w:val="984806" w:themeColor="accent6" w:themeShade="80"/>
              </w:rPr>
            </w:pPr>
            <w:r w:rsidRPr="004B2856">
              <w:rPr>
                <w:rFonts w:ascii="Cambria" w:hAnsi="Cambria" w:cs="Tahoma"/>
                <w:color w:val="984806" w:themeColor="accent6" w:themeShade="80"/>
              </w:rPr>
              <w:t>Name(s)</w:t>
            </w:r>
          </w:p>
        </w:tc>
        <w:tc>
          <w:tcPr>
            <w:tcW w:w="1596" w:type="dxa"/>
          </w:tcPr>
          <w:p w:rsidR="00147FF8" w:rsidRPr="004B2856" w:rsidRDefault="00147FF8" w:rsidP="00147FF8">
            <w:pPr>
              <w:pStyle w:val="NormalWeb"/>
              <w:jc w:val="center"/>
              <w:rPr>
                <w:rFonts w:ascii="Cambria" w:hAnsi="Cambria" w:cs="Tahoma"/>
                <w:color w:val="984806" w:themeColor="accent6" w:themeShade="80"/>
              </w:rPr>
            </w:pPr>
            <w:r w:rsidRPr="004B2856">
              <w:rPr>
                <w:rFonts w:ascii="Cambria" w:hAnsi="Cambria" w:cs="Tahoma"/>
                <w:color w:val="984806" w:themeColor="accent6" w:themeShade="80"/>
              </w:rPr>
              <w:t>Date</w:t>
            </w:r>
          </w:p>
        </w:tc>
      </w:tr>
      <w:tr w:rsidR="00B00BD7" w:rsidTr="00C7533C">
        <w:tc>
          <w:tcPr>
            <w:tcW w:w="3618" w:type="dxa"/>
          </w:tcPr>
          <w:p w:rsidR="00B00BD7" w:rsidRPr="007110BD" w:rsidRDefault="00B00BD7" w:rsidP="00B95434">
            <w:pPr>
              <w:pStyle w:val="NormalWeb"/>
              <w:rPr>
                <w:rFonts w:ascii="Cambria" w:hAnsi="Cambria" w:cs="Tahoma"/>
                <w:color w:val="000000"/>
              </w:rPr>
            </w:pPr>
            <w:r w:rsidRPr="007110BD">
              <w:rPr>
                <w:rFonts w:ascii="Cambria" w:hAnsi="Cambria" w:cs="Tahoma"/>
                <w:color w:val="000000"/>
              </w:rPr>
              <w:t>1)</w:t>
            </w:r>
            <w:r>
              <w:rPr>
                <w:rFonts w:ascii="Cambria" w:hAnsi="Cambria" w:cs="Tahoma"/>
                <w:color w:val="000000"/>
              </w:rPr>
              <w:t xml:space="preserve"> Complete LEA Exit Interview Checklist (to return keys, etc.)</w:t>
            </w:r>
          </w:p>
        </w:tc>
        <w:tc>
          <w:tcPr>
            <w:tcW w:w="2766" w:type="dxa"/>
          </w:tcPr>
          <w:p w:rsidR="00B00BD7" w:rsidRDefault="00B00BD7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B00BD7" w:rsidRDefault="00B00BD7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B00BD7" w:rsidRDefault="00B00BD7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</w:tr>
      <w:tr w:rsidR="006C0DB0" w:rsidTr="00C7533C">
        <w:tc>
          <w:tcPr>
            <w:tcW w:w="3618" w:type="dxa"/>
          </w:tcPr>
          <w:p w:rsidR="006C0DB0" w:rsidRPr="007110BD" w:rsidRDefault="00B00BD7" w:rsidP="00B95434">
            <w:pPr>
              <w:pStyle w:val="NormalWeb"/>
              <w:rPr>
                <w:rFonts w:ascii="Cambria" w:hAnsi="Cambria" w:cs="Tahoma"/>
                <w:color w:val="000000"/>
              </w:rPr>
            </w:pPr>
            <w:r>
              <w:rPr>
                <w:rFonts w:ascii="Cambria" w:hAnsi="Cambria" w:cs="Tahoma"/>
                <w:color w:val="000000"/>
              </w:rPr>
              <w:t>2</w:t>
            </w:r>
            <w:r w:rsidR="007110BD" w:rsidRPr="007110BD">
              <w:rPr>
                <w:rFonts w:ascii="Cambria" w:hAnsi="Cambria" w:cs="Tahoma"/>
                <w:color w:val="000000"/>
              </w:rPr>
              <w:t xml:space="preserve">) </w:t>
            </w:r>
            <w:r w:rsidR="00C7533C" w:rsidRPr="007110BD">
              <w:rPr>
                <w:rFonts w:ascii="Cambria" w:hAnsi="Cambria" w:cs="Tahoma"/>
                <w:color w:val="000000"/>
              </w:rPr>
              <w:t xml:space="preserve">Complete copy of </w:t>
            </w:r>
            <w:r w:rsidR="00B95434" w:rsidRPr="007110BD">
              <w:rPr>
                <w:rFonts w:ascii="Cambria" w:hAnsi="Cambria" w:cs="Tahoma"/>
                <w:color w:val="000000"/>
              </w:rPr>
              <w:t xml:space="preserve">Year 1 final </w:t>
            </w:r>
            <w:r w:rsidR="00C7533C" w:rsidRPr="007110BD">
              <w:rPr>
                <w:rFonts w:ascii="Cambria" w:hAnsi="Cambria" w:cs="Tahoma"/>
                <w:color w:val="000000"/>
              </w:rPr>
              <w:t>original approved 21st CCLC application for the site</w:t>
            </w:r>
          </w:p>
        </w:tc>
        <w:tc>
          <w:tcPr>
            <w:tcW w:w="2766" w:type="dxa"/>
          </w:tcPr>
          <w:p w:rsidR="006C0DB0" w:rsidRDefault="006C0DB0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6C0DB0" w:rsidRDefault="006C0DB0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6C0DB0" w:rsidRDefault="006C0DB0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</w:tr>
      <w:tr w:rsidR="006C0DB0" w:rsidTr="00C7533C">
        <w:tc>
          <w:tcPr>
            <w:tcW w:w="3618" w:type="dxa"/>
          </w:tcPr>
          <w:p w:rsidR="006C0DB0" w:rsidRPr="007110BD" w:rsidRDefault="00B00BD7" w:rsidP="00C7533C">
            <w:pPr>
              <w:pStyle w:val="NormalWeb"/>
              <w:rPr>
                <w:rFonts w:ascii="Cambria" w:hAnsi="Cambria" w:cs="Tahoma"/>
                <w:color w:val="000000"/>
              </w:rPr>
            </w:pPr>
            <w:r>
              <w:rPr>
                <w:rFonts w:ascii="Cambria" w:hAnsi="Cambria" w:cs="Tahoma"/>
                <w:color w:val="000000"/>
              </w:rPr>
              <w:t>3</w:t>
            </w:r>
            <w:r w:rsidR="007110BD" w:rsidRPr="007110BD">
              <w:rPr>
                <w:rFonts w:ascii="Cambria" w:hAnsi="Cambria" w:cs="Tahoma"/>
                <w:color w:val="000000"/>
              </w:rPr>
              <w:t xml:space="preserve">) </w:t>
            </w:r>
            <w:r w:rsidR="00B95434" w:rsidRPr="007110BD">
              <w:rPr>
                <w:rFonts w:ascii="Cambria" w:hAnsi="Cambria" w:cs="Tahoma"/>
                <w:color w:val="000000"/>
              </w:rPr>
              <w:t>Complete copy of final approved Continuing Applications for Years 2, 3, 4, 5 (1x/year)</w:t>
            </w:r>
          </w:p>
        </w:tc>
        <w:tc>
          <w:tcPr>
            <w:tcW w:w="2766" w:type="dxa"/>
          </w:tcPr>
          <w:p w:rsidR="006C0DB0" w:rsidRDefault="006C0DB0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6C0DB0" w:rsidRDefault="006C0DB0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6C0DB0" w:rsidRDefault="006C0DB0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</w:tr>
      <w:tr w:rsidR="00B95434" w:rsidTr="00C7533C">
        <w:tc>
          <w:tcPr>
            <w:tcW w:w="3618" w:type="dxa"/>
          </w:tcPr>
          <w:p w:rsidR="00B95434" w:rsidRPr="007110BD" w:rsidRDefault="00B00BD7" w:rsidP="00E176E7">
            <w:pPr>
              <w:pStyle w:val="NormalWeb"/>
              <w:rPr>
                <w:rFonts w:ascii="Cambria" w:hAnsi="Cambria" w:cs="Tahoma"/>
                <w:color w:val="000000"/>
              </w:rPr>
            </w:pPr>
            <w:r>
              <w:rPr>
                <w:rFonts w:ascii="Cambria" w:hAnsi="Cambria" w:cs="Tahoma"/>
                <w:color w:val="000000"/>
              </w:rPr>
              <w:t xml:space="preserve">4) </w:t>
            </w:r>
            <w:r w:rsidR="00B95434" w:rsidRPr="007110BD">
              <w:rPr>
                <w:rFonts w:ascii="Cambria" w:hAnsi="Cambria" w:cs="Tahoma"/>
                <w:color w:val="000000"/>
              </w:rPr>
              <w:t xml:space="preserve">Program-At-A-Glance for the site (updated with any changes approved </w:t>
            </w:r>
            <w:r w:rsidR="00147FF8" w:rsidRPr="007110BD">
              <w:rPr>
                <w:rFonts w:ascii="Cambria" w:hAnsi="Cambria" w:cs="Tahoma"/>
                <w:color w:val="000000"/>
              </w:rPr>
              <w:t xml:space="preserve">by </w:t>
            </w:r>
            <w:r w:rsidR="008115D4">
              <w:rPr>
                <w:rFonts w:ascii="Cambria" w:hAnsi="Cambria" w:cs="Tahoma"/>
                <w:color w:val="000000"/>
              </w:rPr>
              <w:t>the Arizona Department of Education (</w:t>
            </w:r>
            <w:r w:rsidR="00147FF8" w:rsidRPr="007110BD">
              <w:rPr>
                <w:rFonts w:ascii="Cambria" w:hAnsi="Cambria" w:cs="Tahoma"/>
                <w:color w:val="000000"/>
              </w:rPr>
              <w:t>ADE</w:t>
            </w:r>
            <w:r w:rsidR="008115D4">
              <w:rPr>
                <w:rFonts w:ascii="Cambria" w:hAnsi="Cambria" w:cs="Tahoma"/>
                <w:color w:val="000000"/>
              </w:rPr>
              <w:t>)</w:t>
            </w:r>
            <w:r w:rsidR="00147FF8" w:rsidRPr="007110BD">
              <w:rPr>
                <w:rFonts w:ascii="Cambria" w:hAnsi="Cambria" w:cs="Tahoma"/>
                <w:color w:val="000000"/>
              </w:rPr>
              <w:t xml:space="preserve"> </w:t>
            </w:r>
            <w:r w:rsidR="00B95434" w:rsidRPr="007110BD">
              <w:rPr>
                <w:rFonts w:ascii="Cambria" w:hAnsi="Cambria" w:cs="Tahoma"/>
                <w:color w:val="000000"/>
              </w:rPr>
              <w:t>since the original application was approved)</w:t>
            </w:r>
          </w:p>
        </w:tc>
        <w:tc>
          <w:tcPr>
            <w:tcW w:w="2766" w:type="dxa"/>
          </w:tcPr>
          <w:p w:rsidR="00B95434" w:rsidRDefault="00B95434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B95434" w:rsidRDefault="00B95434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B95434" w:rsidRDefault="00B95434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</w:tr>
      <w:tr w:rsidR="007110BD" w:rsidTr="00C7533C">
        <w:tc>
          <w:tcPr>
            <w:tcW w:w="3618" w:type="dxa"/>
          </w:tcPr>
          <w:p w:rsidR="007110BD" w:rsidRPr="007110BD" w:rsidRDefault="00B00BD7" w:rsidP="002A789B">
            <w:pPr>
              <w:pStyle w:val="NormalWeb"/>
              <w:rPr>
                <w:rFonts w:ascii="Cambria" w:hAnsi="Cambria" w:cs="Tahoma"/>
                <w:color w:val="000000"/>
              </w:rPr>
            </w:pPr>
            <w:r>
              <w:rPr>
                <w:rFonts w:ascii="Cambria" w:hAnsi="Cambria" w:cs="Tahoma"/>
                <w:color w:val="000000"/>
              </w:rPr>
              <w:t xml:space="preserve">5) </w:t>
            </w:r>
            <w:r w:rsidR="007110BD" w:rsidRPr="007110BD">
              <w:rPr>
                <w:rFonts w:ascii="Cambria" w:hAnsi="Cambria" w:cs="Tahoma"/>
                <w:color w:val="000000"/>
              </w:rPr>
              <w:t>ADE Site Compliance Visit Monitoring reports</w:t>
            </w:r>
          </w:p>
        </w:tc>
        <w:tc>
          <w:tcPr>
            <w:tcW w:w="2766" w:type="dxa"/>
          </w:tcPr>
          <w:p w:rsidR="007110BD" w:rsidRDefault="007110BD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7110BD" w:rsidRDefault="007110BD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7110BD" w:rsidRDefault="007110BD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</w:tr>
      <w:tr w:rsidR="00656996" w:rsidTr="00C7533C">
        <w:tc>
          <w:tcPr>
            <w:tcW w:w="3618" w:type="dxa"/>
          </w:tcPr>
          <w:p w:rsidR="00656996" w:rsidRPr="007110BD" w:rsidRDefault="00B00BD7" w:rsidP="002A789B">
            <w:pPr>
              <w:pStyle w:val="NormalWeb"/>
              <w:rPr>
                <w:rFonts w:ascii="Cambria" w:hAnsi="Cambria" w:cs="Tahoma"/>
                <w:color w:val="000000"/>
              </w:rPr>
            </w:pPr>
            <w:r>
              <w:rPr>
                <w:rFonts w:ascii="Cambria" w:hAnsi="Cambria" w:cs="Tahoma"/>
                <w:color w:val="000000"/>
              </w:rPr>
              <w:t xml:space="preserve">6) </w:t>
            </w:r>
            <w:r w:rsidR="00656996" w:rsidRPr="007110BD">
              <w:rPr>
                <w:rFonts w:ascii="Cambria" w:hAnsi="Cambria" w:cs="Tahoma"/>
                <w:color w:val="000000"/>
              </w:rPr>
              <w:t>Summer, fall and spring schedules for the 21</w:t>
            </w:r>
            <w:r w:rsidR="00656996" w:rsidRPr="007110BD">
              <w:rPr>
                <w:rFonts w:ascii="Cambria" w:hAnsi="Cambria" w:cs="Tahoma"/>
                <w:color w:val="000000"/>
                <w:vertAlign w:val="superscript"/>
              </w:rPr>
              <w:t>st</w:t>
            </w:r>
            <w:r w:rsidR="00656996" w:rsidRPr="007110BD">
              <w:rPr>
                <w:rFonts w:ascii="Cambria" w:hAnsi="Cambria" w:cs="Tahoma"/>
                <w:color w:val="000000"/>
              </w:rPr>
              <w:t xml:space="preserve"> CCLC program </w:t>
            </w:r>
          </w:p>
        </w:tc>
        <w:tc>
          <w:tcPr>
            <w:tcW w:w="2766" w:type="dxa"/>
          </w:tcPr>
          <w:p w:rsidR="00656996" w:rsidRDefault="00656996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656996" w:rsidRDefault="00656996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656996" w:rsidRDefault="00656996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</w:tr>
      <w:tr w:rsidR="002A789B" w:rsidTr="00C7533C">
        <w:tc>
          <w:tcPr>
            <w:tcW w:w="3618" w:type="dxa"/>
          </w:tcPr>
          <w:p w:rsidR="002A789B" w:rsidRPr="007110BD" w:rsidRDefault="00B00BD7" w:rsidP="00B00BD7">
            <w:pPr>
              <w:pStyle w:val="NormalWeb"/>
              <w:rPr>
                <w:rFonts w:ascii="Cambria" w:hAnsi="Cambria" w:cs="Tahoma"/>
                <w:color w:val="000000"/>
              </w:rPr>
            </w:pPr>
            <w:r>
              <w:rPr>
                <w:rFonts w:ascii="Cambria" w:hAnsi="Cambria" w:cs="Tahoma"/>
                <w:color w:val="000000"/>
              </w:rPr>
              <w:t xml:space="preserve">7) Tracking systems for </w:t>
            </w:r>
            <w:r w:rsidR="00E10AAF" w:rsidRPr="007110BD">
              <w:rPr>
                <w:rFonts w:ascii="Cambria" w:hAnsi="Cambria" w:cs="Tahoma"/>
                <w:color w:val="000000"/>
              </w:rPr>
              <w:t xml:space="preserve"> Attendance, Purchasi</w:t>
            </w:r>
            <w:r>
              <w:rPr>
                <w:rFonts w:ascii="Cambria" w:hAnsi="Cambria" w:cs="Tahoma"/>
                <w:color w:val="000000"/>
              </w:rPr>
              <w:t>ng, Hiring, Expenditures</w:t>
            </w:r>
          </w:p>
        </w:tc>
        <w:tc>
          <w:tcPr>
            <w:tcW w:w="2766" w:type="dxa"/>
          </w:tcPr>
          <w:p w:rsidR="002A789B" w:rsidRDefault="002A789B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2A789B" w:rsidRDefault="002A789B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2A789B" w:rsidRDefault="002A789B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</w:tr>
      <w:tr w:rsidR="007110BD" w:rsidTr="00C7533C">
        <w:tc>
          <w:tcPr>
            <w:tcW w:w="3618" w:type="dxa"/>
          </w:tcPr>
          <w:p w:rsidR="007110BD" w:rsidRPr="007110BD" w:rsidRDefault="00B00BD7" w:rsidP="008421F2">
            <w:pPr>
              <w:pStyle w:val="NormalWeb"/>
              <w:rPr>
                <w:rFonts w:ascii="Cambria" w:hAnsi="Cambria" w:cs="Tahoma"/>
                <w:color w:val="000000"/>
              </w:rPr>
            </w:pPr>
            <w:r>
              <w:rPr>
                <w:rFonts w:ascii="Cambria" w:hAnsi="Cambria" w:cs="Tahoma"/>
                <w:color w:val="000000"/>
              </w:rPr>
              <w:t xml:space="preserve">8) </w:t>
            </w:r>
            <w:r w:rsidR="007110BD" w:rsidRPr="007110BD">
              <w:rPr>
                <w:rFonts w:ascii="Cambria" w:hAnsi="Cambria" w:cs="Tahoma"/>
                <w:color w:val="000000"/>
              </w:rPr>
              <w:t>Contact list of people critical to the program and their role(s).</w:t>
            </w:r>
          </w:p>
        </w:tc>
        <w:tc>
          <w:tcPr>
            <w:tcW w:w="2766" w:type="dxa"/>
          </w:tcPr>
          <w:p w:rsidR="007110BD" w:rsidRDefault="007110BD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7110BD" w:rsidRDefault="007110BD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7110BD" w:rsidRDefault="007110BD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</w:tr>
      <w:tr w:rsidR="007110BD" w:rsidTr="00C7533C">
        <w:tc>
          <w:tcPr>
            <w:tcW w:w="3618" w:type="dxa"/>
          </w:tcPr>
          <w:p w:rsidR="007110BD" w:rsidRPr="007110BD" w:rsidRDefault="00B00BD7" w:rsidP="00334451">
            <w:pPr>
              <w:pStyle w:val="NormalWeb"/>
              <w:rPr>
                <w:rFonts w:ascii="Cambria" w:hAnsi="Cambria" w:cs="Tahoma"/>
                <w:color w:val="000000"/>
              </w:rPr>
            </w:pPr>
            <w:r>
              <w:rPr>
                <w:rFonts w:ascii="Cambria" w:hAnsi="Cambria" w:cs="Tahoma"/>
                <w:color w:val="000000"/>
              </w:rPr>
              <w:t xml:space="preserve">9) </w:t>
            </w:r>
            <w:r w:rsidR="007110BD" w:rsidRPr="007110BD">
              <w:rPr>
                <w:rFonts w:ascii="Cambria" w:hAnsi="Cambria" w:cs="Tahoma"/>
                <w:color w:val="000000"/>
              </w:rPr>
              <w:t>Supplies Inventory: Attach list.</w:t>
            </w:r>
          </w:p>
        </w:tc>
        <w:tc>
          <w:tcPr>
            <w:tcW w:w="2766" w:type="dxa"/>
          </w:tcPr>
          <w:p w:rsidR="007110BD" w:rsidRDefault="007110BD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7110BD" w:rsidRDefault="007110BD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7110BD" w:rsidRDefault="007110BD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</w:tr>
      <w:tr w:rsidR="007110BD" w:rsidTr="00C7533C">
        <w:tc>
          <w:tcPr>
            <w:tcW w:w="3618" w:type="dxa"/>
          </w:tcPr>
          <w:p w:rsidR="007110BD" w:rsidRPr="007110BD" w:rsidRDefault="00B00BD7" w:rsidP="00B00BD7">
            <w:pPr>
              <w:pStyle w:val="NormalWeb"/>
              <w:rPr>
                <w:rFonts w:ascii="Cambria" w:hAnsi="Cambria" w:cs="Tahoma"/>
                <w:color w:val="000000"/>
              </w:rPr>
            </w:pPr>
            <w:r>
              <w:rPr>
                <w:rFonts w:ascii="Cambria" w:hAnsi="Cambria" w:cs="Tahoma"/>
                <w:color w:val="000000"/>
              </w:rPr>
              <w:t xml:space="preserve">10) </w:t>
            </w:r>
            <w:r w:rsidR="007110BD" w:rsidRPr="007110BD">
              <w:rPr>
                <w:rFonts w:ascii="Cambria" w:hAnsi="Cambria" w:cs="Tahoma"/>
                <w:color w:val="000000"/>
              </w:rPr>
              <w:t xml:space="preserve">List of files (paper &amp; electronic) of raw data collected for reporting and their locations: Attach list. </w:t>
            </w:r>
          </w:p>
        </w:tc>
        <w:tc>
          <w:tcPr>
            <w:tcW w:w="2766" w:type="dxa"/>
          </w:tcPr>
          <w:p w:rsidR="007110BD" w:rsidRDefault="007110BD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7110BD" w:rsidRDefault="007110BD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7110BD" w:rsidRDefault="007110BD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</w:tr>
      <w:tr w:rsidR="007110BD" w:rsidTr="00C7533C">
        <w:tc>
          <w:tcPr>
            <w:tcW w:w="3618" w:type="dxa"/>
          </w:tcPr>
          <w:p w:rsidR="007110BD" w:rsidRPr="007110BD" w:rsidRDefault="00B00BD7" w:rsidP="007110BD">
            <w:pPr>
              <w:pStyle w:val="NormalWeb"/>
              <w:rPr>
                <w:rFonts w:ascii="Cambria" w:hAnsi="Cambria" w:cs="Tahoma"/>
                <w:color w:val="000000"/>
              </w:rPr>
            </w:pPr>
            <w:r>
              <w:rPr>
                <w:rFonts w:ascii="Cambria" w:hAnsi="Cambria" w:cs="Tahoma"/>
                <w:color w:val="000000"/>
              </w:rPr>
              <w:lastRenderedPageBreak/>
              <w:t xml:space="preserve">11) </w:t>
            </w:r>
            <w:r w:rsidR="007110BD" w:rsidRPr="007110BD">
              <w:rPr>
                <w:rFonts w:ascii="Cambria" w:hAnsi="Cambria" w:cs="Tahoma"/>
                <w:color w:val="000000"/>
              </w:rPr>
              <w:t>Files (paper &amp;</w:t>
            </w:r>
            <w:r w:rsidR="00A55269">
              <w:rPr>
                <w:rFonts w:ascii="Cambria" w:hAnsi="Cambria" w:cs="Tahoma"/>
                <w:color w:val="000000"/>
              </w:rPr>
              <w:t>/or</w:t>
            </w:r>
            <w:r w:rsidR="007110BD" w:rsidRPr="007110BD">
              <w:rPr>
                <w:rFonts w:ascii="Cambria" w:hAnsi="Cambria" w:cs="Tahoma"/>
                <w:color w:val="000000"/>
              </w:rPr>
              <w:t xml:space="preserve"> electronic) maintained in case of audit:</w:t>
            </w:r>
          </w:p>
          <w:p w:rsidR="007110BD" w:rsidRPr="007110BD" w:rsidRDefault="007110BD" w:rsidP="007110BD">
            <w:pPr>
              <w:pStyle w:val="NormalWeb"/>
              <w:ind w:left="720"/>
              <w:rPr>
                <w:rFonts w:ascii="Cambria" w:hAnsi="Cambria" w:cs="Tahoma"/>
                <w:color w:val="000000"/>
              </w:rPr>
            </w:pPr>
            <w:r w:rsidRPr="007110BD">
              <w:rPr>
                <w:rFonts w:ascii="Cambria" w:hAnsi="Cambria" w:cs="Tahoma"/>
                <w:color w:val="000000"/>
              </w:rPr>
              <w:sym w:font="Wingdings" w:char="F09F"/>
            </w:r>
            <w:r w:rsidRPr="007110BD">
              <w:rPr>
                <w:rFonts w:ascii="Cambria" w:hAnsi="Cambria" w:cs="Tahoma"/>
                <w:color w:val="000000"/>
              </w:rPr>
              <w:t xml:space="preserve"> 1) &amp; 2) above</w:t>
            </w:r>
          </w:p>
          <w:p w:rsidR="007110BD" w:rsidRPr="007110BD" w:rsidRDefault="007110BD" w:rsidP="007110BD">
            <w:pPr>
              <w:pStyle w:val="NormalWeb"/>
              <w:ind w:left="720"/>
              <w:rPr>
                <w:rFonts w:ascii="Cambria" w:hAnsi="Cambria" w:cs="Tahoma"/>
                <w:color w:val="000000"/>
              </w:rPr>
            </w:pPr>
            <w:r w:rsidRPr="007110BD">
              <w:rPr>
                <w:rFonts w:ascii="Cambria" w:hAnsi="Cambria" w:cs="Tahoma"/>
                <w:color w:val="000000"/>
              </w:rPr>
              <w:sym w:font="Wingdings" w:char="F09F"/>
            </w:r>
            <w:r w:rsidRPr="007110BD">
              <w:rPr>
                <w:rFonts w:ascii="Cambria" w:hAnsi="Cambria" w:cs="Tahoma"/>
                <w:color w:val="000000"/>
              </w:rPr>
              <w:t xml:space="preserve"> Timesheets (plus Time &amp; Effort &amp; Attendance attached to each Timesheet)</w:t>
            </w:r>
          </w:p>
          <w:p w:rsidR="007110BD" w:rsidRPr="007110BD" w:rsidRDefault="007110BD" w:rsidP="007110BD">
            <w:pPr>
              <w:pStyle w:val="NormalWeb"/>
              <w:ind w:left="720"/>
              <w:rPr>
                <w:rFonts w:ascii="Cambria" w:hAnsi="Cambria" w:cs="Tahoma"/>
                <w:color w:val="000000"/>
              </w:rPr>
            </w:pPr>
            <w:r w:rsidRPr="007110BD">
              <w:rPr>
                <w:rFonts w:ascii="Cambria" w:hAnsi="Cambria" w:cs="Tahoma"/>
                <w:color w:val="000000"/>
              </w:rPr>
              <w:sym w:font="Wingdings" w:char="F09F"/>
            </w:r>
            <w:r w:rsidRPr="007110BD">
              <w:rPr>
                <w:rFonts w:ascii="Cambria" w:hAnsi="Cambria" w:cs="Tahoma"/>
                <w:color w:val="000000"/>
              </w:rPr>
              <w:t xml:space="preserve"> Registration forms</w:t>
            </w:r>
          </w:p>
          <w:p w:rsidR="007110BD" w:rsidRPr="007110BD" w:rsidRDefault="007110BD" w:rsidP="007110BD">
            <w:pPr>
              <w:pStyle w:val="NormalWeb"/>
              <w:ind w:left="720"/>
              <w:rPr>
                <w:rFonts w:ascii="Cambria" w:hAnsi="Cambria" w:cs="Tahoma"/>
                <w:color w:val="000000"/>
              </w:rPr>
            </w:pPr>
            <w:r w:rsidRPr="007110BD">
              <w:rPr>
                <w:rFonts w:ascii="Cambria" w:hAnsi="Cambria" w:cs="Tahoma"/>
                <w:color w:val="000000"/>
              </w:rPr>
              <w:sym w:font="Wingdings" w:char="F09F"/>
            </w:r>
            <w:r w:rsidRPr="007110BD">
              <w:rPr>
                <w:rFonts w:ascii="Cambria" w:hAnsi="Cambria" w:cs="Tahoma"/>
                <w:color w:val="000000"/>
              </w:rPr>
              <w:t xml:space="preserve"> Fixed assets log</w:t>
            </w:r>
          </w:p>
        </w:tc>
        <w:tc>
          <w:tcPr>
            <w:tcW w:w="2766" w:type="dxa"/>
          </w:tcPr>
          <w:p w:rsidR="007110BD" w:rsidRDefault="007110BD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7110BD" w:rsidRDefault="007110BD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7110BD" w:rsidRDefault="007110BD" w:rsidP="006C0DB0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</w:tr>
    </w:tbl>
    <w:p w:rsidR="00A142C4" w:rsidRDefault="00A142C4" w:rsidP="006C0DB0">
      <w:pPr>
        <w:pStyle w:val="NormalWeb"/>
        <w:rPr>
          <w:rFonts w:ascii="Cambria" w:hAnsi="Cambria" w:cs="Tahom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766"/>
        <w:gridCol w:w="1596"/>
        <w:gridCol w:w="1596"/>
      </w:tblGrid>
      <w:tr w:rsidR="00C7533C" w:rsidTr="00E176E7">
        <w:tc>
          <w:tcPr>
            <w:tcW w:w="3618" w:type="dxa"/>
          </w:tcPr>
          <w:p w:rsidR="00C7533C" w:rsidRPr="00C7533C" w:rsidRDefault="00B00BD7" w:rsidP="00E176E7">
            <w:pPr>
              <w:pStyle w:val="NormalWeb"/>
              <w:rPr>
                <w:rFonts w:ascii="Cambria" w:hAnsi="Cambria" w:cs="Tahoma"/>
                <w:b/>
                <w:color w:val="000000"/>
              </w:rPr>
            </w:pPr>
            <w:r>
              <w:rPr>
                <w:rFonts w:ascii="Cambria" w:hAnsi="Cambria" w:cs="Tahoma"/>
                <w:b/>
                <w:color w:val="000000"/>
              </w:rPr>
              <w:t xml:space="preserve">12) </w:t>
            </w:r>
            <w:r w:rsidR="00C7533C">
              <w:rPr>
                <w:rFonts w:ascii="Cambria" w:hAnsi="Cambria" w:cs="Tahoma"/>
                <w:b/>
                <w:color w:val="000000"/>
              </w:rPr>
              <w:t xml:space="preserve">Required Reporting- </w:t>
            </w:r>
            <w:r w:rsidR="00C7533C">
              <w:rPr>
                <w:rFonts w:ascii="Cambria" w:hAnsi="Cambria" w:cs="Tahoma"/>
                <w:color w:val="000000"/>
              </w:rPr>
              <w:t>Archived copies of submitted reports:</w:t>
            </w:r>
          </w:p>
        </w:tc>
        <w:tc>
          <w:tcPr>
            <w:tcW w:w="2766" w:type="dxa"/>
          </w:tcPr>
          <w:p w:rsidR="00C7533C" w:rsidRDefault="00C7533C" w:rsidP="00E176E7">
            <w:pPr>
              <w:pStyle w:val="NormalWeb"/>
              <w:rPr>
                <w:rFonts w:ascii="Cambria" w:hAnsi="Cambria" w:cs="Tahoma"/>
                <w:color w:val="000000"/>
              </w:rPr>
            </w:pPr>
            <w:r>
              <w:rPr>
                <w:rFonts w:ascii="Cambria" w:hAnsi="Cambria" w:cs="Tahoma"/>
                <w:color w:val="000000"/>
              </w:rPr>
              <w:t>Location</w:t>
            </w:r>
          </w:p>
        </w:tc>
        <w:tc>
          <w:tcPr>
            <w:tcW w:w="3192" w:type="dxa"/>
            <w:gridSpan w:val="2"/>
          </w:tcPr>
          <w:p w:rsidR="00C7533C" w:rsidRDefault="00C7533C" w:rsidP="00E176E7">
            <w:pPr>
              <w:pStyle w:val="NormalWeb"/>
              <w:rPr>
                <w:rFonts w:ascii="Cambria" w:hAnsi="Cambria" w:cs="Tahoma"/>
                <w:color w:val="000000"/>
              </w:rPr>
            </w:pPr>
            <w:r>
              <w:rPr>
                <w:rFonts w:ascii="Cambria" w:hAnsi="Cambria" w:cs="Tahoma"/>
                <w:color w:val="000000"/>
              </w:rPr>
              <w:t>Reviewed with – Name(s)</w:t>
            </w:r>
          </w:p>
        </w:tc>
      </w:tr>
      <w:tr w:rsidR="00C7533C" w:rsidTr="00E176E7">
        <w:tc>
          <w:tcPr>
            <w:tcW w:w="3618" w:type="dxa"/>
          </w:tcPr>
          <w:p w:rsidR="00C7533C" w:rsidRDefault="00C7533C" w:rsidP="00E176E7">
            <w:pPr>
              <w:pStyle w:val="NormalWeb"/>
              <w:rPr>
                <w:rFonts w:ascii="Cambria" w:hAnsi="Cambria" w:cs="Tahoma"/>
                <w:color w:val="000000"/>
              </w:rPr>
            </w:pPr>
            <w:r>
              <w:rPr>
                <w:rFonts w:ascii="Cambria" w:hAnsi="Cambria" w:cs="Tahoma"/>
                <w:color w:val="000000"/>
              </w:rPr>
              <w:t>Summary of Classes (2x/year)</w:t>
            </w:r>
          </w:p>
        </w:tc>
        <w:tc>
          <w:tcPr>
            <w:tcW w:w="2766" w:type="dxa"/>
          </w:tcPr>
          <w:p w:rsidR="00C7533C" w:rsidRDefault="00C7533C" w:rsidP="00E176E7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C7533C" w:rsidRDefault="00C7533C" w:rsidP="00E176E7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C7533C" w:rsidRDefault="00C7533C" w:rsidP="00E176E7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</w:tr>
      <w:tr w:rsidR="00C7533C" w:rsidTr="00E176E7">
        <w:tc>
          <w:tcPr>
            <w:tcW w:w="3618" w:type="dxa"/>
          </w:tcPr>
          <w:p w:rsidR="00C7533C" w:rsidRDefault="00C7533C" w:rsidP="00E176E7">
            <w:pPr>
              <w:pStyle w:val="NormalWeb"/>
              <w:rPr>
                <w:rFonts w:ascii="Cambria" w:hAnsi="Cambria" w:cs="Tahoma"/>
                <w:color w:val="000000"/>
              </w:rPr>
            </w:pPr>
            <w:r>
              <w:rPr>
                <w:rFonts w:ascii="Cambria" w:hAnsi="Cambria" w:cs="Tahoma"/>
                <w:color w:val="000000"/>
              </w:rPr>
              <w:t>Annual Performance Report (3x/year)</w:t>
            </w:r>
          </w:p>
        </w:tc>
        <w:tc>
          <w:tcPr>
            <w:tcW w:w="2766" w:type="dxa"/>
          </w:tcPr>
          <w:p w:rsidR="00C7533C" w:rsidRDefault="00C7533C" w:rsidP="00E176E7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C7533C" w:rsidRDefault="00C7533C" w:rsidP="00E176E7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C7533C" w:rsidRDefault="00C7533C" w:rsidP="00E176E7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</w:tr>
      <w:tr w:rsidR="00C7533C" w:rsidTr="00E176E7">
        <w:tc>
          <w:tcPr>
            <w:tcW w:w="3618" w:type="dxa"/>
          </w:tcPr>
          <w:p w:rsidR="00C7533C" w:rsidRDefault="00C7533C" w:rsidP="00C7533C">
            <w:pPr>
              <w:pStyle w:val="NormalWeb"/>
              <w:rPr>
                <w:rFonts w:ascii="Cambria" w:hAnsi="Cambria" w:cs="Tahoma"/>
                <w:color w:val="000000"/>
              </w:rPr>
            </w:pPr>
            <w:r>
              <w:rPr>
                <w:rFonts w:ascii="Cambria" w:hAnsi="Cambria" w:cs="Tahoma"/>
                <w:color w:val="000000"/>
              </w:rPr>
              <w:t>Student Attendance Report (1x/year)</w:t>
            </w:r>
          </w:p>
        </w:tc>
        <w:tc>
          <w:tcPr>
            <w:tcW w:w="2766" w:type="dxa"/>
          </w:tcPr>
          <w:p w:rsidR="00C7533C" w:rsidRDefault="00C7533C" w:rsidP="00E176E7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C7533C" w:rsidRDefault="00C7533C" w:rsidP="00E176E7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C7533C" w:rsidRDefault="00C7533C" w:rsidP="00E176E7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</w:tr>
      <w:tr w:rsidR="00C7533C" w:rsidTr="00E176E7">
        <w:tc>
          <w:tcPr>
            <w:tcW w:w="3618" w:type="dxa"/>
          </w:tcPr>
          <w:p w:rsidR="00C7533C" w:rsidRDefault="00C7533C" w:rsidP="00E176E7">
            <w:pPr>
              <w:pStyle w:val="NormalWeb"/>
              <w:rPr>
                <w:rFonts w:ascii="Cambria" w:hAnsi="Cambria" w:cs="Tahoma"/>
                <w:color w:val="000000"/>
              </w:rPr>
            </w:pPr>
            <w:r>
              <w:rPr>
                <w:rFonts w:ascii="Cambria" w:hAnsi="Cambria" w:cs="Tahoma"/>
                <w:color w:val="000000"/>
              </w:rPr>
              <w:t>Site Evaluation Report (1x/year)</w:t>
            </w:r>
          </w:p>
        </w:tc>
        <w:tc>
          <w:tcPr>
            <w:tcW w:w="2766" w:type="dxa"/>
          </w:tcPr>
          <w:p w:rsidR="00C7533C" w:rsidRDefault="00C7533C" w:rsidP="00E176E7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C7533C" w:rsidRDefault="00C7533C" w:rsidP="00E176E7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1596" w:type="dxa"/>
          </w:tcPr>
          <w:p w:rsidR="00C7533C" w:rsidRDefault="00C7533C" w:rsidP="00E176E7">
            <w:pPr>
              <w:pStyle w:val="NormalWeb"/>
              <w:rPr>
                <w:rFonts w:ascii="Cambria" w:hAnsi="Cambria" w:cs="Tahoma"/>
                <w:color w:val="000000"/>
              </w:rPr>
            </w:pPr>
          </w:p>
        </w:tc>
      </w:tr>
    </w:tbl>
    <w:p w:rsidR="005424F3" w:rsidRDefault="005424F3" w:rsidP="001D70CE">
      <w:pPr>
        <w:pStyle w:val="wordsection1"/>
        <w:rPr>
          <w:rFonts w:ascii="Tahoma" w:hAnsi="Tahoma" w:cs="Tahoma"/>
          <w:color w:val="000000"/>
        </w:rPr>
      </w:pPr>
    </w:p>
    <w:p w:rsidR="002D1C23" w:rsidRDefault="002D1C23" w:rsidP="001D70CE">
      <w:pPr>
        <w:pStyle w:val="wordsection1"/>
        <w:rPr>
          <w:rFonts w:ascii="Tahoma" w:hAnsi="Tahoma" w:cs="Tahoma"/>
          <w:color w:val="000000"/>
        </w:rPr>
      </w:pPr>
    </w:p>
    <w:p w:rsidR="002D1C23" w:rsidRDefault="0054426E" w:rsidP="001D70CE">
      <w:pPr>
        <w:pStyle w:val="wordsection1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pict>
          <v:roundrect id="_x0000_s1026" style="position:absolute;margin-left:16.1pt;margin-top:8.4pt;width:450.65pt;height:3.8pt;z-index:251660288" arcsize="10923f" fillcolor="#548dd4 [1951]" stroked="f" strokecolor="#f2f2f2 [3041]" strokeweight="3pt">
            <v:shadow on="t" type="perspective" color="#243f60 [1604]" opacity=".5" offset="1pt" offset2="-1pt"/>
          </v:roundrect>
        </w:pict>
      </w:r>
    </w:p>
    <w:p w:rsidR="002D1C23" w:rsidRDefault="002D1C23" w:rsidP="001D70CE">
      <w:pPr>
        <w:pStyle w:val="wordsection1"/>
        <w:rPr>
          <w:rFonts w:ascii="Tahoma" w:hAnsi="Tahoma" w:cs="Tahoma"/>
          <w:color w:val="000000"/>
        </w:rPr>
      </w:pPr>
    </w:p>
    <w:p w:rsidR="002D1C23" w:rsidRPr="00BF3D05" w:rsidRDefault="002D1C23" w:rsidP="001D70CE">
      <w:pPr>
        <w:pStyle w:val="wordsection1"/>
        <w:rPr>
          <w:rFonts w:ascii="Tahoma" w:hAnsi="Tahoma" w:cs="Tahoma"/>
          <w:color w:val="000000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40005</wp:posOffset>
            </wp:positionV>
            <wp:extent cx="1035050" cy="1280160"/>
            <wp:effectExtent l="19050" t="0" r="0" b="0"/>
            <wp:wrapSquare wrapText="bothSides"/>
            <wp:docPr id="2" name="Picture 1" descr="http://www.azed.gov/century-learning-centers/files/2013/09/21stcclc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zed.gov/century-learning-centers/files/2013/09/21stcclc-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The 21st Century Community Learning Center afterschool program is funded by a federal grant from the U.S. Department of Education and administered by the Arizona Department of Education.  For more information visit:</w:t>
      </w:r>
      <w:r w:rsidR="005F0881">
        <w:rPr>
          <w:rFonts w:ascii="Cambria" w:hAnsi="Cambria"/>
        </w:rPr>
        <w:t xml:space="preserve"> </w:t>
      </w:r>
      <w:hyperlink r:id="rId7" w:history="1">
        <w:r w:rsidR="0054426E" w:rsidRPr="004B00B3">
          <w:rPr>
            <w:rStyle w:val="Hyperlink"/>
            <w:rFonts w:ascii="Cambria" w:hAnsi="Cambria"/>
          </w:rPr>
          <w:t>www.azed.gov/century-learning-centers/</w:t>
        </w:r>
      </w:hyperlink>
      <w:bookmarkStart w:id="0" w:name="_GoBack"/>
      <w:bookmarkEnd w:id="0"/>
      <w:r w:rsidR="005F088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</w:p>
    <w:sectPr w:rsidR="002D1C23" w:rsidRPr="00BF3D05" w:rsidSect="00266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271"/>
    <w:multiLevelType w:val="hybridMultilevel"/>
    <w:tmpl w:val="74A68428"/>
    <w:lvl w:ilvl="0" w:tplc="DD98A07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4575F2"/>
    <w:multiLevelType w:val="multilevel"/>
    <w:tmpl w:val="28DC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67286"/>
    <w:multiLevelType w:val="multilevel"/>
    <w:tmpl w:val="C1FA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24F3"/>
    <w:rsid w:val="000012F7"/>
    <w:rsid w:val="00094EE9"/>
    <w:rsid w:val="00147FF8"/>
    <w:rsid w:val="001D70CE"/>
    <w:rsid w:val="00266E89"/>
    <w:rsid w:val="002A789B"/>
    <w:rsid w:val="002D1C23"/>
    <w:rsid w:val="003F1685"/>
    <w:rsid w:val="00466228"/>
    <w:rsid w:val="004B2856"/>
    <w:rsid w:val="004B3C12"/>
    <w:rsid w:val="005424F3"/>
    <w:rsid w:val="0054426E"/>
    <w:rsid w:val="005F0881"/>
    <w:rsid w:val="00620361"/>
    <w:rsid w:val="00656996"/>
    <w:rsid w:val="006C0DB0"/>
    <w:rsid w:val="00704D12"/>
    <w:rsid w:val="007110BD"/>
    <w:rsid w:val="008115D4"/>
    <w:rsid w:val="00811C42"/>
    <w:rsid w:val="008258B4"/>
    <w:rsid w:val="008421F2"/>
    <w:rsid w:val="008A622D"/>
    <w:rsid w:val="00A142C4"/>
    <w:rsid w:val="00A241DD"/>
    <w:rsid w:val="00A35CD6"/>
    <w:rsid w:val="00A51086"/>
    <w:rsid w:val="00A55269"/>
    <w:rsid w:val="00AB64E5"/>
    <w:rsid w:val="00B00BD7"/>
    <w:rsid w:val="00B265FD"/>
    <w:rsid w:val="00B95434"/>
    <w:rsid w:val="00BF3D05"/>
    <w:rsid w:val="00C01D38"/>
    <w:rsid w:val="00C7533C"/>
    <w:rsid w:val="00E10AAF"/>
    <w:rsid w:val="00F4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4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24F3"/>
    <w:rPr>
      <w:rFonts w:ascii="Times New Roman" w:hAnsi="Times New Roman"/>
      <w:sz w:val="24"/>
      <w:szCs w:val="24"/>
    </w:rPr>
  </w:style>
  <w:style w:type="paragraph" w:customStyle="1" w:styleId="wordsection1">
    <w:name w:val="wordsection1"/>
    <w:basedOn w:val="Normal"/>
    <w:uiPriority w:val="99"/>
    <w:semiHidden/>
    <w:rsid w:val="005424F3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24F3"/>
    <w:rPr>
      <w:i/>
      <w:iCs/>
    </w:rPr>
  </w:style>
  <w:style w:type="character" w:styleId="Strong">
    <w:name w:val="Strong"/>
    <w:basedOn w:val="DefaultParagraphFont"/>
    <w:uiPriority w:val="22"/>
    <w:qFormat/>
    <w:rsid w:val="005424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24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24F3"/>
    <w:rPr>
      <w:rFonts w:ascii="Times New Roman" w:hAnsi="Times New Roman"/>
      <w:sz w:val="24"/>
      <w:szCs w:val="24"/>
    </w:rPr>
  </w:style>
  <w:style w:type="paragraph" w:customStyle="1" w:styleId="wordsection1">
    <w:name w:val="wordsection1"/>
    <w:basedOn w:val="Normal"/>
    <w:uiPriority w:val="99"/>
    <w:semiHidden/>
    <w:rsid w:val="005424F3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24F3"/>
    <w:rPr>
      <w:i/>
      <w:iCs/>
    </w:rPr>
  </w:style>
  <w:style w:type="character" w:styleId="Strong">
    <w:name w:val="Strong"/>
    <w:basedOn w:val="DefaultParagraphFont"/>
    <w:uiPriority w:val="22"/>
    <w:qFormat/>
    <w:rsid w:val="005424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zed.gov/century-learning-cen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cland</dc:creator>
  <cp:lastModifiedBy>cland</cp:lastModifiedBy>
  <cp:revision>10</cp:revision>
  <cp:lastPrinted>2017-04-18T19:06:00Z</cp:lastPrinted>
  <dcterms:created xsi:type="dcterms:W3CDTF">2017-01-20T21:23:00Z</dcterms:created>
  <dcterms:modified xsi:type="dcterms:W3CDTF">2017-05-04T17:00:00Z</dcterms:modified>
</cp:coreProperties>
</file>