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93" w:rsidRPr="00B1642D" w:rsidRDefault="003E5168" w:rsidP="00286913">
      <w:pPr>
        <w:pStyle w:val="Heading1"/>
        <w:rPr>
          <w:color w:val="365F91" w:themeColor="accent1" w:themeShade="BF"/>
          <w:sz w:val="40"/>
        </w:rPr>
      </w:pPr>
      <w:bookmarkStart w:id="0" w:name="_Hlk504635524"/>
      <w:r w:rsidRPr="00B1642D">
        <w:rPr>
          <w:color w:val="365F91" w:themeColor="accent1" w:themeShade="BF"/>
          <w:sz w:val="40"/>
        </w:rPr>
        <w:t>Conditions, Climate, and Culture</w:t>
      </w:r>
      <w:r w:rsidR="00DD3C0B" w:rsidRPr="00B1642D">
        <w:rPr>
          <w:color w:val="365F91" w:themeColor="accent1" w:themeShade="BF"/>
          <w:sz w:val="40"/>
        </w:rPr>
        <w:t xml:space="preserve"> Resources for AZMTSS</w:t>
      </w:r>
    </w:p>
    <w:p w:rsidR="007C31D9" w:rsidRPr="00B1642D" w:rsidRDefault="003E5168" w:rsidP="00286913">
      <w:pPr>
        <w:pStyle w:val="Body"/>
        <w:rPr>
          <w:color w:val="548DD4" w:themeColor="text2" w:themeTint="99"/>
          <w:sz w:val="28"/>
        </w:rPr>
      </w:pPr>
      <w:r w:rsidRPr="00B1642D">
        <w:rPr>
          <w:color w:val="548DD4" w:themeColor="text2" w:themeTint="99"/>
          <w:sz w:val="28"/>
        </w:rPr>
        <w:t>Inclusive schools are focused on positive relationships within all tiers of support to meet the academic, behavioral and social-</w:t>
      </w:r>
      <w:r w:rsidR="00682CC1" w:rsidRPr="00B1642D">
        <w:rPr>
          <w:color w:val="548DD4" w:themeColor="text2" w:themeTint="99"/>
          <w:sz w:val="28"/>
        </w:rPr>
        <w:t>emotional needs of all children</w:t>
      </w:r>
      <w:r w:rsidR="00DD3C0B" w:rsidRPr="00B1642D">
        <w:rPr>
          <w:color w:val="548DD4" w:themeColor="text2" w:themeTint="99"/>
          <w:sz w:val="28"/>
        </w:rPr>
        <w:t>. Many of the resources have been developed by organizations not affiliated with Arizona Department of Education; therefore, the agency bears no responsibility for the quality or content of those resources.</w:t>
      </w:r>
    </w:p>
    <w:p w:rsidR="007C31D9" w:rsidRDefault="007C31D9" w:rsidP="00DD3C0B"/>
    <w:tbl>
      <w:tblPr>
        <w:tblW w:w="2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5400"/>
        <w:gridCol w:w="6407"/>
        <w:gridCol w:w="4119"/>
      </w:tblGrid>
      <w:tr w:rsidR="00682CC1" w:rsidRPr="00682CC1" w:rsidTr="00B1642D">
        <w:trPr>
          <w:trHeight w:val="308"/>
          <w:jc w:val="center"/>
        </w:trPr>
        <w:tc>
          <w:tcPr>
            <w:tcW w:w="4754" w:type="dxa"/>
            <w:shd w:val="clear" w:color="auto" w:fill="auto"/>
            <w:vAlign w:val="center"/>
            <w:hideMark/>
          </w:tcPr>
          <w:p w:rsidR="00682CC1" w:rsidRPr="00682CC1" w:rsidRDefault="00682CC1" w:rsidP="00682CC1">
            <w:pPr>
              <w:spacing w:after="0" w:line="240" w:lineRule="auto"/>
              <w:jc w:val="center"/>
              <w:rPr>
                <w:rFonts w:ascii="Arial" w:eastAsia="Times New Roman" w:hAnsi="Arial" w:cs="Arial"/>
                <w:b/>
                <w:bCs/>
                <w:szCs w:val="24"/>
              </w:rPr>
            </w:pPr>
            <w:r w:rsidRPr="00682CC1">
              <w:rPr>
                <w:rFonts w:ascii="Arial" w:eastAsia="Times New Roman" w:hAnsi="Arial" w:cs="Arial"/>
                <w:b/>
                <w:bCs/>
                <w:szCs w:val="24"/>
              </w:rPr>
              <w:t>Resource</w:t>
            </w:r>
          </w:p>
        </w:tc>
        <w:tc>
          <w:tcPr>
            <w:tcW w:w="5400" w:type="dxa"/>
            <w:shd w:val="clear" w:color="auto" w:fill="auto"/>
            <w:vAlign w:val="center"/>
            <w:hideMark/>
          </w:tcPr>
          <w:p w:rsidR="00682CC1" w:rsidRPr="00682CC1" w:rsidRDefault="00682CC1" w:rsidP="00682CC1">
            <w:pPr>
              <w:spacing w:after="0" w:line="240" w:lineRule="auto"/>
              <w:jc w:val="center"/>
              <w:rPr>
                <w:rFonts w:ascii="Arial" w:eastAsia="Times New Roman" w:hAnsi="Arial" w:cs="Arial"/>
                <w:b/>
                <w:bCs/>
                <w:szCs w:val="24"/>
              </w:rPr>
            </w:pPr>
            <w:r w:rsidRPr="00682CC1">
              <w:rPr>
                <w:rFonts w:ascii="Arial" w:eastAsia="Times New Roman" w:hAnsi="Arial" w:cs="Arial"/>
                <w:b/>
                <w:bCs/>
                <w:szCs w:val="24"/>
              </w:rPr>
              <w:t>Link</w:t>
            </w:r>
          </w:p>
        </w:tc>
        <w:tc>
          <w:tcPr>
            <w:tcW w:w="6407" w:type="dxa"/>
            <w:shd w:val="clear" w:color="auto" w:fill="auto"/>
            <w:vAlign w:val="center"/>
            <w:hideMark/>
          </w:tcPr>
          <w:p w:rsidR="00682CC1" w:rsidRPr="00682CC1" w:rsidRDefault="00682CC1" w:rsidP="00682CC1">
            <w:pPr>
              <w:spacing w:after="0" w:line="240" w:lineRule="auto"/>
              <w:jc w:val="center"/>
              <w:rPr>
                <w:rFonts w:ascii="Arial" w:eastAsia="Times New Roman" w:hAnsi="Arial" w:cs="Arial"/>
                <w:b/>
                <w:bCs/>
                <w:szCs w:val="24"/>
              </w:rPr>
            </w:pPr>
            <w:r w:rsidRPr="00682CC1">
              <w:rPr>
                <w:rFonts w:ascii="Arial" w:eastAsia="Times New Roman" w:hAnsi="Arial" w:cs="Arial"/>
                <w:b/>
                <w:bCs/>
                <w:szCs w:val="24"/>
              </w:rPr>
              <w:t>Description</w:t>
            </w:r>
          </w:p>
        </w:tc>
        <w:tc>
          <w:tcPr>
            <w:tcW w:w="4119" w:type="dxa"/>
            <w:shd w:val="clear" w:color="auto" w:fill="auto"/>
            <w:vAlign w:val="center"/>
            <w:hideMark/>
          </w:tcPr>
          <w:p w:rsidR="00682CC1" w:rsidRPr="00682CC1" w:rsidRDefault="00682CC1" w:rsidP="00682CC1">
            <w:pPr>
              <w:spacing w:after="0" w:line="240" w:lineRule="auto"/>
              <w:jc w:val="center"/>
              <w:rPr>
                <w:rFonts w:ascii="Arial" w:eastAsia="Times New Roman" w:hAnsi="Arial" w:cs="Arial"/>
                <w:b/>
                <w:bCs/>
                <w:szCs w:val="24"/>
              </w:rPr>
            </w:pPr>
            <w:r w:rsidRPr="00682CC1">
              <w:rPr>
                <w:rFonts w:ascii="Arial" w:eastAsia="Times New Roman" w:hAnsi="Arial" w:cs="Arial"/>
                <w:b/>
                <w:bCs/>
                <w:szCs w:val="24"/>
              </w:rPr>
              <w:t xml:space="preserve">Source </w:t>
            </w:r>
          </w:p>
        </w:tc>
      </w:tr>
      <w:tr w:rsidR="00682CC1" w:rsidRPr="00682CC1" w:rsidTr="00B1642D">
        <w:trPr>
          <w:trHeight w:val="308"/>
          <w:jc w:val="center"/>
        </w:trPr>
        <w:tc>
          <w:tcPr>
            <w:tcW w:w="4754" w:type="dxa"/>
            <w:shd w:val="clear" w:color="auto" w:fill="auto"/>
            <w:vAlign w:val="center"/>
            <w:hideMark/>
          </w:tcPr>
          <w:p w:rsidR="00682CC1" w:rsidRPr="00682CC1" w:rsidRDefault="00682CC1" w:rsidP="00B1642D">
            <w:pPr>
              <w:spacing w:after="0" w:line="240" w:lineRule="auto"/>
              <w:rPr>
                <w:rFonts w:ascii="Arial" w:eastAsia="Times New Roman" w:hAnsi="Arial" w:cs="Arial"/>
                <w:szCs w:val="24"/>
              </w:rPr>
            </w:pPr>
            <w:r w:rsidRPr="00682CC1">
              <w:rPr>
                <w:rFonts w:ascii="Arial" w:eastAsia="Times New Roman" w:hAnsi="Arial" w:cs="Arial"/>
                <w:szCs w:val="24"/>
              </w:rPr>
              <w:t xml:space="preserve">Attendance Works </w:t>
            </w:r>
          </w:p>
        </w:tc>
        <w:tc>
          <w:tcPr>
            <w:tcW w:w="5400" w:type="dxa"/>
            <w:shd w:val="clear" w:color="auto" w:fill="auto"/>
            <w:vAlign w:val="center"/>
            <w:hideMark/>
          </w:tcPr>
          <w:p w:rsidR="00682CC1" w:rsidRPr="00682CC1" w:rsidRDefault="00CE5C75" w:rsidP="00B1642D">
            <w:pPr>
              <w:spacing w:after="0" w:line="240" w:lineRule="auto"/>
              <w:rPr>
                <w:rFonts w:ascii="Arial" w:eastAsia="Times New Roman" w:hAnsi="Arial" w:cs="Arial"/>
                <w:color w:val="0000FF"/>
                <w:szCs w:val="24"/>
                <w:u w:val="single"/>
              </w:rPr>
            </w:pPr>
            <w:hyperlink r:id="rId6" w:history="1">
              <w:r w:rsidR="00682CC1" w:rsidRPr="00682CC1">
                <w:rPr>
                  <w:rFonts w:ascii="Arial" w:eastAsia="Times New Roman" w:hAnsi="Arial" w:cs="Arial"/>
                  <w:color w:val="0000FF"/>
                  <w:szCs w:val="24"/>
                  <w:u w:val="single"/>
                </w:rPr>
                <w:t>http://www.attendanceworks.org/resources/</w:t>
              </w:r>
            </w:hyperlink>
          </w:p>
        </w:tc>
        <w:tc>
          <w:tcPr>
            <w:tcW w:w="6407" w:type="dxa"/>
            <w:shd w:val="clear" w:color="auto" w:fill="auto"/>
            <w:vAlign w:val="center"/>
            <w:hideMark/>
          </w:tcPr>
          <w:p w:rsidR="00682CC1" w:rsidRPr="00682CC1" w:rsidRDefault="00682CC1" w:rsidP="00B1642D">
            <w:pPr>
              <w:spacing w:after="0" w:line="240" w:lineRule="auto"/>
              <w:rPr>
                <w:rFonts w:ascii="Arial" w:eastAsia="Times New Roman" w:hAnsi="Arial" w:cs="Arial"/>
                <w:szCs w:val="24"/>
              </w:rPr>
            </w:pPr>
            <w:r w:rsidRPr="00682CC1">
              <w:rPr>
                <w:rFonts w:ascii="Arial" w:eastAsia="Times New Roman" w:hAnsi="Arial" w:cs="Arial"/>
                <w:szCs w:val="24"/>
              </w:rPr>
              <w:t>These free resources are designed to help schools and districts understand the importance of student attendance and the potential impact of chronic absences and truancies. Many of the resources are also designed to help schools and districts implement systemic in</w:t>
            </w:r>
            <w:r>
              <w:rPr>
                <w:rFonts w:ascii="Arial" w:eastAsia="Times New Roman" w:hAnsi="Arial" w:cs="Arial"/>
                <w:szCs w:val="24"/>
              </w:rPr>
              <w:t>i</w:t>
            </w:r>
            <w:r w:rsidRPr="00682CC1">
              <w:rPr>
                <w:rFonts w:ascii="Arial" w:eastAsia="Times New Roman" w:hAnsi="Arial" w:cs="Arial"/>
                <w:szCs w:val="24"/>
              </w:rPr>
              <w:t xml:space="preserve">tiatives to address chronic absenteeism. </w:t>
            </w:r>
          </w:p>
        </w:tc>
        <w:tc>
          <w:tcPr>
            <w:tcW w:w="4119" w:type="dxa"/>
            <w:shd w:val="clear" w:color="auto" w:fill="auto"/>
            <w:vAlign w:val="center"/>
            <w:hideMark/>
          </w:tcPr>
          <w:p w:rsidR="00682CC1" w:rsidRPr="00682CC1" w:rsidRDefault="00682CC1" w:rsidP="00B1642D">
            <w:pPr>
              <w:spacing w:after="0" w:line="240" w:lineRule="auto"/>
              <w:rPr>
                <w:rFonts w:ascii="Arial" w:eastAsia="Times New Roman" w:hAnsi="Arial" w:cs="Arial"/>
                <w:szCs w:val="24"/>
              </w:rPr>
            </w:pPr>
            <w:r w:rsidRPr="00682CC1">
              <w:rPr>
                <w:rFonts w:ascii="Arial" w:eastAsia="Times New Roman" w:hAnsi="Arial" w:cs="Arial"/>
                <w:szCs w:val="24"/>
              </w:rPr>
              <w:t>Attendance Works (2017)</w:t>
            </w:r>
          </w:p>
        </w:tc>
      </w:tr>
      <w:tr w:rsidR="000236A9" w:rsidTr="00B1642D">
        <w:trPr>
          <w:trHeight w:val="308"/>
          <w:jc w:val="center"/>
        </w:trPr>
        <w:tc>
          <w:tcPr>
            <w:tcW w:w="4754" w:type="dxa"/>
            <w:tcBorders>
              <w:top w:val="single" w:sz="4" w:space="0" w:color="auto"/>
              <w:left w:val="single" w:sz="4" w:space="0" w:color="auto"/>
              <w:bottom w:val="single" w:sz="4" w:space="0" w:color="auto"/>
              <w:right w:val="single" w:sz="4" w:space="0" w:color="auto"/>
            </w:tcBorders>
            <w:shd w:val="clear" w:color="auto" w:fill="auto"/>
            <w:vAlign w:val="center"/>
          </w:tcPr>
          <w:p w:rsidR="000236A9" w:rsidRPr="000236A9" w:rsidRDefault="000236A9" w:rsidP="00B1642D">
            <w:pPr>
              <w:spacing w:after="0" w:line="240" w:lineRule="auto"/>
              <w:rPr>
                <w:rFonts w:ascii="Arial" w:eastAsia="Times New Roman" w:hAnsi="Arial" w:cs="Arial"/>
                <w:szCs w:val="24"/>
              </w:rPr>
            </w:pPr>
            <w:r w:rsidRPr="000236A9">
              <w:rPr>
                <w:rFonts w:ascii="Arial" w:eastAsia="Times New Roman" w:hAnsi="Arial" w:cs="Arial"/>
                <w:szCs w:val="24"/>
              </w:rPr>
              <w:t>College and Career Competency Framework</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rsidR="000236A9" w:rsidRPr="000236A9" w:rsidRDefault="00CE5C75" w:rsidP="00B1642D">
            <w:pPr>
              <w:rPr>
                <w:rFonts w:ascii="Arial" w:hAnsi="Arial" w:cs="Arial"/>
              </w:rPr>
            </w:pPr>
            <w:hyperlink r:id="rId7" w:history="1">
              <w:r w:rsidR="00775953" w:rsidRPr="000C2BDF">
                <w:rPr>
                  <w:rStyle w:val="Hyperlink"/>
                  <w:rFonts w:ascii="Arial" w:hAnsi="Arial" w:cs="Arial"/>
                </w:rPr>
                <w:t>www.cccframework.org</w:t>
              </w:r>
            </w:hyperlink>
            <w:r w:rsidR="00775953">
              <w:rPr>
                <w:rFonts w:ascii="Arial" w:hAnsi="Arial" w:cs="Arial"/>
              </w:rPr>
              <w:t xml:space="preserve"> </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0236A9" w:rsidRPr="000236A9" w:rsidRDefault="000236A9" w:rsidP="00B1642D">
            <w:pPr>
              <w:spacing w:after="0" w:line="240" w:lineRule="auto"/>
              <w:rPr>
                <w:rFonts w:ascii="Arial" w:eastAsia="Times New Roman" w:hAnsi="Arial" w:cs="Arial"/>
                <w:szCs w:val="24"/>
              </w:rPr>
            </w:pPr>
            <w:r w:rsidRPr="000236A9">
              <w:rPr>
                <w:rFonts w:ascii="Arial" w:eastAsia="Times New Roman" w:hAnsi="Arial" w:cs="Arial"/>
                <w:szCs w:val="24"/>
              </w:rPr>
              <w:t>The College and Career Competency Framework, supports educators in systematically embedding intrapersonal, interpersonal, and cognitive competencies into course content. In this way, educators support students to develop into career-equipped, lifelong learners who are socially and emotionally engaged.  The College and Career Competency Wheel includes 26 specific competencies categorized in three domains. Each competency is integral to in-school and post-secondary success, as determined by current and emerging research. This site includes free, research-based instructional resources for all 26 competencies, as well as professi</w:t>
            </w:r>
            <w:r w:rsidR="0075119B">
              <w:rPr>
                <w:rFonts w:ascii="Arial" w:eastAsia="Times New Roman" w:hAnsi="Arial" w:cs="Arial"/>
                <w:szCs w:val="24"/>
              </w:rPr>
              <w:t xml:space="preserve">onal development opportunities </w:t>
            </w:r>
            <w:r w:rsidRPr="000236A9">
              <w:rPr>
                <w:rFonts w:ascii="Arial" w:eastAsia="Times New Roman" w:hAnsi="Arial" w:cs="Arial"/>
                <w:szCs w:val="24"/>
              </w:rPr>
              <w:t xml:space="preserve">in Arizona to systematically teach competencies and academic learning standards simultaneously, thereby improving academic achievement, engagement, and post-school outcomes.  </w:t>
            </w:r>
          </w:p>
          <w:p w:rsidR="000236A9" w:rsidRPr="000236A9" w:rsidRDefault="000236A9" w:rsidP="00B1642D">
            <w:pPr>
              <w:spacing w:after="0" w:line="240" w:lineRule="auto"/>
              <w:rPr>
                <w:rFonts w:ascii="Arial" w:eastAsia="Times New Roman" w:hAnsi="Arial" w:cs="Arial"/>
                <w:szCs w:val="24"/>
              </w:rPr>
            </w:pPr>
          </w:p>
        </w:tc>
        <w:tc>
          <w:tcPr>
            <w:tcW w:w="4119" w:type="dxa"/>
            <w:tcBorders>
              <w:top w:val="single" w:sz="4" w:space="0" w:color="auto"/>
              <w:left w:val="single" w:sz="4" w:space="0" w:color="auto"/>
              <w:bottom w:val="single" w:sz="4" w:space="0" w:color="auto"/>
              <w:right w:val="single" w:sz="4" w:space="0" w:color="auto"/>
            </w:tcBorders>
            <w:shd w:val="clear" w:color="auto" w:fill="auto"/>
            <w:vAlign w:val="center"/>
          </w:tcPr>
          <w:p w:rsidR="000236A9" w:rsidRPr="000236A9" w:rsidRDefault="000236A9" w:rsidP="00B1642D">
            <w:pPr>
              <w:spacing w:after="0" w:line="240" w:lineRule="auto"/>
              <w:rPr>
                <w:rFonts w:ascii="Arial" w:eastAsia="Times New Roman" w:hAnsi="Arial" w:cs="Arial"/>
                <w:szCs w:val="24"/>
              </w:rPr>
            </w:pPr>
            <w:r w:rsidRPr="000236A9">
              <w:rPr>
                <w:rFonts w:ascii="Arial" w:eastAsia="Times New Roman" w:hAnsi="Arial" w:cs="Arial"/>
                <w:szCs w:val="24"/>
              </w:rPr>
              <w:t>Research Collaboration, University of Kansas (2018)</w:t>
            </w:r>
          </w:p>
        </w:tc>
      </w:tr>
      <w:tr w:rsidR="00682CC1" w:rsidRPr="00682CC1" w:rsidTr="00B1642D">
        <w:trPr>
          <w:trHeight w:val="308"/>
          <w:jc w:val="center"/>
        </w:trPr>
        <w:tc>
          <w:tcPr>
            <w:tcW w:w="4754" w:type="dxa"/>
            <w:shd w:val="clear" w:color="auto" w:fill="auto"/>
            <w:vAlign w:val="center"/>
            <w:hideMark/>
          </w:tcPr>
          <w:p w:rsidR="00682CC1" w:rsidRPr="00682CC1" w:rsidRDefault="00682CC1" w:rsidP="00B1642D">
            <w:pPr>
              <w:spacing w:after="0" w:line="240" w:lineRule="auto"/>
              <w:rPr>
                <w:rFonts w:ascii="Arial" w:eastAsia="Times New Roman" w:hAnsi="Arial" w:cs="Arial"/>
                <w:szCs w:val="24"/>
              </w:rPr>
            </w:pPr>
            <w:r w:rsidRPr="00682CC1">
              <w:rPr>
                <w:rFonts w:ascii="Arial" w:eastAsia="Times New Roman" w:hAnsi="Arial" w:cs="Arial"/>
                <w:szCs w:val="24"/>
              </w:rPr>
              <w:t xml:space="preserve">Culturally Inclusive Practices </w:t>
            </w:r>
          </w:p>
        </w:tc>
        <w:tc>
          <w:tcPr>
            <w:tcW w:w="5400" w:type="dxa"/>
            <w:shd w:val="clear" w:color="auto" w:fill="auto"/>
            <w:vAlign w:val="center"/>
            <w:hideMark/>
          </w:tcPr>
          <w:p w:rsidR="00682CC1" w:rsidRPr="00682CC1" w:rsidRDefault="00CE5C75" w:rsidP="00B1642D">
            <w:pPr>
              <w:spacing w:after="0" w:line="240" w:lineRule="auto"/>
              <w:rPr>
                <w:rFonts w:ascii="Arial" w:eastAsia="Times New Roman" w:hAnsi="Arial" w:cs="Arial"/>
                <w:color w:val="0000FF"/>
                <w:szCs w:val="24"/>
                <w:u w:val="single"/>
              </w:rPr>
            </w:pPr>
            <w:hyperlink r:id="rId8" w:history="1">
              <w:r w:rsidR="00682CC1" w:rsidRPr="00682CC1">
                <w:rPr>
                  <w:rFonts w:ascii="Arial" w:eastAsia="Times New Roman" w:hAnsi="Arial" w:cs="Arial"/>
                  <w:color w:val="0000FF"/>
                  <w:szCs w:val="24"/>
                  <w:u w:val="single"/>
                </w:rPr>
                <w:t>http://www.azed.gov/standards-practices/culturally-inclusive-practices/</w:t>
              </w:r>
            </w:hyperlink>
          </w:p>
        </w:tc>
        <w:tc>
          <w:tcPr>
            <w:tcW w:w="6407" w:type="dxa"/>
            <w:shd w:val="clear" w:color="auto" w:fill="auto"/>
            <w:vAlign w:val="center"/>
            <w:hideMark/>
          </w:tcPr>
          <w:p w:rsidR="00682CC1" w:rsidRPr="00682CC1" w:rsidRDefault="00682CC1" w:rsidP="00B1642D">
            <w:pPr>
              <w:spacing w:after="0" w:line="240" w:lineRule="auto"/>
              <w:rPr>
                <w:rFonts w:ascii="Arial" w:eastAsia="Times New Roman" w:hAnsi="Arial" w:cs="Arial"/>
                <w:szCs w:val="24"/>
              </w:rPr>
            </w:pPr>
            <w:r w:rsidRPr="00682CC1">
              <w:rPr>
                <w:rFonts w:ascii="Arial" w:eastAsia="Times New Roman" w:hAnsi="Arial" w:cs="Arial"/>
                <w:szCs w:val="24"/>
              </w:rPr>
              <w:t xml:space="preserve">This resource contains guidance on how to develop and implement a culturally inclusive environment at the site level. </w:t>
            </w:r>
          </w:p>
        </w:tc>
        <w:tc>
          <w:tcPr>
            <w:tcW w:w="4119" w:type="dxa"/>
            <w:shd w:val="clear" w:color="auto" w:fill="auto"/>
            <w:vAlign w:val="center"/>
            <w:hideMark/>
          </w:tcPr>
          <w:p w:rsidR="00682CC1" w:rsidRPr="00682CC1" w:rsidRDefault="00682CC1" w:rsidP="00B1642D">
            <w:pPr>
              <w:spacing w:after="0" w:line="240" w:lineRule="auto"/>
              <w:rPr>
                <w:rFonts w:ascii="Arial" w:eastAsia="Times New Roman" w:hAnsi="Arial" w:cs="Arial"/>
                <w:szCs w:val="24"/>
              </w:rPr>
            </w:pPr>
            <w:r w:rsidRPr="00682CC1">
              <w:rPr>
                <w:rFonts w:ascii="Arial" w:eastAsia="Times New Roman" w:hAnsi="Arial" w:cs="Arial"/>
                <w:szCs w:val="24"/>
              </w:rPr>
              <w:t>Arizona Department of Education (2017)</w:t>
            </w:r>
          </w:p>
        </w:tc>
      </w:tr>
      <w:tr w:rsidR="00682CC1" w:rsidRPr="00682CC1" w:rsidTr="00B1642D">
        <w:trPr>
          <w:trHeight w:val="308"/>
          <w:jc w:val="center"/>
        </w:trPr>
        <w:tc>
          <w:tcPr>
            <w:tcW w:w="4754" w:type="dxa"/>
            <w:shd w:val="clear" w:color="auto" w:fill="auto"/>
            <w:vAlign w:val="center"/>
            <w:hideMark/>
          </w:tcPr>
          <w:p w:rsidR="00682CC1" w:rsidRPr="00682CC1" w:rsidRDefault="00682CC1" w:rsidP="00B1642D">
            <w:pPr>
              <w:spacing w:after="0" w:line="240" w:lineRule="auto"/>
              <w:rPr>
                <w:rFonts w:ascii="Arial" w:eastAsia="Times New Roman" w:hAnsi="Arial" w:cs="Arial"/>
                <w:szCs w:val="24"/>
              </w:rPr>
            </w:pPr>
            <w:r w:rsidRPr="00682CC1">
              <w:rPr>
                <w:rFonts w:ascii="Arial" w:eastAsia="Times New Roman" w:hAnsi="Arial" w:cs="Arial"/>
                <w:szCs w:val="24"/>
              </w:rPr>
              <w:t xml:space="preserve">Strong and Positive School Culture </w:t>
            </w:r>
          </w:p>
        </w:tc>
        <w:tc>
          <w:tcPr>
            <w:tcW w:w="5400" w:type="dxa"/>
            <w:shd w:val="clear" w:color="auto" w:fill="auto"/>
            <w:vAlign w:val="center"/>
            <w:hideMark/>
          </w:tcPr>
          <w:p w:rsidR="00682CC1" w:rsidRPr="00682CC1" w:rsidRDefault="00CE5C75" w:rsidP="00B1642D">
            <w:pPr>
              <w:spacing w:after="0" w:line="240" w:lineRule="auto"/>
              <w:rPr>
                <w:rFonts w:ascii="Arial" w:eastAsia="Times New Roman" w:hAnsi="Arial" w:cs="Arial"/>
                <w:color w:val="0000FF"/>
                <w:szCs w:val="24"/>
                <w:u w:val="single"/>
              </w:rPr>
            </w:pPr>
            <w:hyperlink r:id="rId9" w:history="1">
              <w:r w:rsidR="00682CC1" w:rsidRPr="00682CC1">
                <w:rPr>
                  <w:rFonts w:ascii="Arial" w:eastAsia="Times New Roman" w:hAnsi="Arial" w:cs="Arial"/>
                  <w:color w:val="0000FF"/>
                  <w:szCs w:val="24"/>
                  <w:u w:val="single"/>
                </w:rPr>
                <w:t>http://guide.swiftschools.org/integrated-educational-framework/strong-and-positive-school-culture</w:t>
              </w:r>
            </w:hyperlink>
          </w:p>
        </w:tc>
        <w:tc>
          <w:tcPr>
            <w:tcW w:w="6407" w:type="dxa"/>
            <w:shd w:val="clear" w:color="auto" w:fill="auto"/>
            <w:vAlign w:val="center"/>
            <w:hideMark/>
          </w:tcPr>
          <w:p w:rsidR="00682CC1" w:rsidRPr="00682CC1" w:rsidRDefault="00682CC1" w:rsidP="00B1642D">
            <w:pPr>
              <w:spacing w:after="0" w:line="240" w:lineRule="auto"/>
              <w:rPr>
                <w:rFonts w:ascii="Arial" w:eastAsia="Times New Roman" w:hAnsi="Arial" w:cs="Arial"/>
                <w:szCs w:val="24"/>
              </w:rPr>
            </w:pPr>
            <w:r w:rsidRPr="00682CC1">
              <w:rPr>
                <w:rFonts w:ascii="Arial" w:eastAsia="Times New Roman" w:hAnsi="Arial" w:cs="Arial"/>
                <w:szCs w:val="24"/>
              </w:rPr>
              <w:t xml:space="preserve">This package of resources includes an introductory video and an in-depth PowerPoint designed to assist site leadership with implementation of strategies and techniques to develop and sustain a positive school culture. </w:t>
            </w:r>
          </w:p>
        </w:tc>
        <w:tc>
          <w:tcPr>
            <w:tcW w:w="4119" w:type="dxa"/>
            <w:shd w:val="clear" w:color="auto" w:fill="auto"/>
            <w:vAlign w:val="center"/>
            <w:hideMark/>
          </w:tcPr>
          <w:p w:rsidR="00682CC1" w:rsidRPr="00682CC1" w:rsidRDefault="00682CC1" w:rsidP="00B1642D">
            <w:pPr>
              <w:spacing w:after="0" w:line="240" w:lineRule="auto"/>
              <w:rPr>
                <w:rFonts w:ascii="Arial" w:eastAsia="Times New Roman" w:hAnsi="Arial" w:cs="Arial"/>
                <w:szCs w:val="24"/>
              </w:rPr>
            </w:pPr>
            <w:r w:rsidRPr="00682CC1">
              <w:rPr>
                <w:rFonts w:ascii="Arial" w:eastAsia="Times New Roman" w:hAnsi="Arial" w:cs="Arial"/>
                <w:szCs w:val="24"/>
              </w:rPr>
              <w:t>SWIFT (Schoolwide Integrated Framework for Transformation) (2016)</w:t>
            </w:r>
          </w:p>
        </w:tc>
      </w:tr>
      <w:tr w:rsidR="00682CC1" w:rsidRPr="00682CC1" w:rsidTr="00B1642D">
        <w:trPr>
          <w:trHeight w:val="308"/>
          <w:jc w:val="center"/>
        </w:trPr>
        <w:tc>
          <w:tcPr>
            <w:tcW w:w="4754" w:type="dxa"/>
            <w:shd w:val="clear" w:color="auto" w:fill="auto"/>
            <w:vAlign w:val="center"/>
            <w:hideMark/>
          </w:tcPr>
          <w:p w:rsidR="00682CC1" w:rsidRPr="00682CC1" w:rsidRDefault="00682CC1" w:rsidP="00B1642D">
            <w:pPr>
              <w:spacing w:after="0" w:line="240" w:lineRule="auto"/>
              <w:rPr>
                <w:rFonts w:ascii="Arial" w:eastAsia="Times New Roman" w:hAnsi="Arial" w:cs="Arial"/>
                <w:szCs w:val="24"/>
              </w:rPr>
            </w:pPr>
            <w:r w:rsidRPr="00682CC1">
              <w:rPr>
                <w:rFonts w:ascii="Arial" w:eastAsia="Times New Roman" w:hAnsi="Arial" w:cs="Arial"/>
                <w:szCs w:val="24"/>
              </w:rPr>
              <w:t xml:space="preserve">Student Support Teams Reference Guide </w:t>
            </w:r>
          </w:p>
        </w:tc>
        <w:tc>
          <w:tcPr>
            <w:tcW w:w="5400" w:type="dxa"/>
            <w:shd w:val="clear" w:color="auto" w:fill="auto"/>
            <w:vAlign w:val="center"/>
            <w:hideMark/>
          </w:tcPr>
          <w:p w:rsidR="00682CC1" w:rsidRPr="00682CC1" w:rsidRDefault="00CE5C75" w:rsidP="00B1642D">
            <w:pPr>
              <w:spacing w:after="0" w:line="240" w:lineRule="auto"/>
              <w:rPr>
                <w:rFonts w:ascii="Arial" w:eastAsia="Times New Roman" w:hAnsi="Arial" w:cs="Arial"/>
                <w:color w:val="0000FF"/>
                <w:szCs w:val="24"/>
                <w:u w:val="single"/>
              </w:rPr>
            </w:pPr>
            <w:hyperlink r:id="rId10" w:history="1">
              <w:r w:rsidR="00682CC1" w:rsidRPr="00682CC1">
                <w:rPr>
                  <w:rFonts w:ascii="Arial" w:eastAsia="Times New Roman" w:hAnsi="Arial" w:cs="Arial"/>
                  <w:color w:val="0000FF"/>
                  <w:szCs w:val="24"/>
                  <w:u w:val="single"/>
                </w:rPr>
                <w:t>http://www.doe.mass.edu/sfss/student-support-teams.pdf</w:t>
              </w:r>
            </w:hyperlink>
          </w:p>
        </w:tc>
        <w:tc>
          <w:tcPr>
            <w:tcW w:w="6407" w:type="dxa"/>
            <w:shd w:val="clear" w:color="auto" w:fill="auto"/>
            <w:vAlign w:val="center"/>
            <w:hideMark/>
          </w:tcPr>
          <w:p w:rsidR="00682CC1" w:rsidRPr="00682CC1" w:rsidRDefault="00682CC1" w:rsidP="00B1642D">
            <w:pPr>
              <w:spacing w:after="0" w:line="240" w:lineRule="auto"/>
              <w:rPr>
                <w:rFonts w:ascii="Arial" w:eastAsia="Times New Roman" w:hAnsi="Arial" w:cs="Arial"/>
                <w:szCs w:val="24"/>
              </w:rPr>
            </w:pPr>
            <w:r w:rsidRPr="00682CC1">
              <w:rPr>
                <w:rFonts w:ascii="Arial" w:eastAsia="Times New Roman" w:hAnsi="Arial" w:cs="Arial"/>
                <w:szCs w:val="24"/>
              </w:rPr>
              <w:t>This guide can assist site leadership with developing a structure to encourage collaboration among staff to ensure positive student outcomes in a safe and supportive learning environment.</w:t>
            </w:r>
          </w:p>
        </w:tc>
        <w:tc>
          <w:tcPr>
            <w:tcW w:w="4119" w:type="dxa"/>
            <w:shd w:val="clear" w:color="auto" w:fill="auto"/>
            <w:vAlign w:val="center"/>
            <w:hideMark/>
          </w:tcPr>
          <w:p w:rsidR="00682CC1" w:rsidRPr="00682CC1" w:rsidRDefault="00682CC1" w:rsidP="00B1642D">
            <w:pPr>
              <w:spacing w:after="0" w:line="240" w:lineRule="auto"/>
              <w:rPr>
                <w:rFonts w:ascii="Arial" w:eastAsia="Times New Roman" w:hAnsi="Arial" w:cs="Arial"/>
                <w:szCs w:val="24"/>
              </w:rPr>
            </w:pPr>
            <w:r w:rsidRPr="00682CC1">
              <w:rPr>
                <w:rFonts w:ascii="Arial" w:eastAsia="Times New Roman" w:hAnsi="Arial" w:cs="Arial"/>
                <w:szCs w:val="24"/>
              </w:rPr>
              <w:t>Massachusetts Department of Elementary and Secondary Education (2017)</w:t>
            </w:r>
          </w:p>
        </w:tc>
      </w:tr>
    </w:tbl>
    <w:p w:rsidR="00B1642D" w:rsidRDefault="00B1642D" w:rsidP="00B1642D">
      <w:bookmarkStart w:id="1" w:name="_GoBack"/>
      <w:bookmarkEnd w:id="0"/>
      <w:bookmarkEnd w:id="1"/>
    </w:p>
    <w:sectPr w:rsidR="00B1642D" w:rsidSect="00B1642D">
      <w:footerReference w:type="default" r:id="rId11"/>
      <w:pgSz w:w="24480" w:h="15840" w:orient="landscape" w:code="3"/>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75" w:rsidRDefault="00CE5C75" w:rsidP="00DD3C0B">
      <w:pPr>
        <w:spacing w:after="0" w:line="240" w:lineRule="auto"/>
      </w:pPr>
      <w:r>
        <w:separator/>
      </w:r>
    </w:p>
  </w:endnote>
  <w:endnote w:type="continuationSeparator" w:id="0">
    <w:p w:rsidR="00CE5C75" w:rsidRDefault="00CE5C75" w:rsidP="00DD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C0B" w:rsidRDefault="00DD3C0B">
    <w:pPr>
      <w:pStyle w:val="Footer"/>
    </w:pPr>
    <w:r>
      <w:t xml:space="preserve">Updated </w:t>
    </w:r>
    <w:r>
      <w:fldChar w:fldCharType="begin"/>
    </w:r>
    <w:r>
      <w:instrText xml:space="preserve"> DATE \@ "M/d/yyyy" </w:instrText>
    </w:r>
    <w:r>
      <w:fldChar w:fldCharType="separate"/>
    </w:r>
    <w:r w:rsidR="00286913">
      <w:rPr>
        <w:noProof/>
      </w:rPr>
      <w:t>1/25/2018</w:t>
    </w:r>
    <w:r>
      <w:fldChar w:fldCharType="end"/>
    </w:r>
    <w:r>
      <w:tab/>
    </w:r>
    <w:r>
      <w:tab/>
    </w:r>
    <w:r>
      <w:tab/>
    </w:r>
    <w:r>
      <w:tab/>
    </w:r>
    <w:r>
      <w:tab/>
    </w:r>
    <w:r>
      <w:tab/>
    </w:r>
    <w:r>
      <w:tab/>
    </w:r>
    <w:r>
      <w:tab/>
    </w:r>
    <w:r>
      <w:tab/>
    </w:r>
    <w:r>
      <w:tab/>
    </w:r>
    <w:r>
      <w:tab/>
    </w:r>
    <w:r>
      <w:tab/>
    </w:r>
    <w:r>
      <w:tab/>
    </w:r>
    <w:r>
      <w:tab/>
    </w:r>
    <w:r>
      <w:tab/>
    </w:r>
    <w:r>
      <w:tab/>
    </w:r>
    <w:r>
      <w:tab/>
      <w:t xml:space="preserve">Page </w:t>
    </w:r>
    <w:sdt>
      <w:sdtPr>
        <w:id w:val="11760003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1642D">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75" w:rsidRDefault="00CE5C75" w:rsidP="00DD3C0B">
      <w:pPr>
        <w:spacing w:after="0" w:line="240" w:lineRule="auto"/>
      </w:pPr>
      <w:r>
        <w:separator/>
      </w:r>
    </w:p>
  </w:footnote>
  <w:footnote w:type="continuationSeparator" w:id="0">
    <w:p w:rsidR="00CE5C75" w:rsidRDefault="00CE5C75" w:rsidP="00DD3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2szA3N7M0N7Q0NbJQ0lEKTi0uzszPAykwrAUAJpbPmCwAAAA="/>
  </w:docVars>
  <w:rsids>
    <w:rsidRoot w:val="005F7161"/>
    <w:rsid w:val="000236A9"/>
    <w:rsid w:val="00051793"/>
    <w:rsid w:val="00116D3F"/>
    <w:rsid w:val="00286913"/>
    <w:rsid w:val="003E5168"/>
    <w:rsid w:val="00534EB6"/>
    <w:rsid w:val="005F7161"/>
    <w:rsid w:val="00682CC1"/>
    <w:rsid w:val="0070520D"/>
    <w:rsid w:val="00740DAA"/>
    <w:rsid w:val="0075119B"/>
    <w:rsid w:val="00775953"/>
    <w:rsid w:val="007C31D9"/>
    <w:rsid w:val="00AD5D90"/>
    <w:rsid w:val="00AE6386"/>
    <w:rsid w:val="00B1642D"/>
    <w:rsid w:val="00B46758"/>
    <w:rsid w:val="00BE3BBC"/>
    <w:rsid w:val="00CE5C75"/>
    <w:rsid w:val="00D2425F"/>
    <w:rsid w:val="00D532EB"/>
    <w:rsid w:val="00DD3C0B"/>
    <w:rsid w:val="00E111FC"/>
    <w:rsid w:val="00F9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1F70B"/>
  <w15:chartTrackingRefBased/>
  <w15:docId w15:val="{8BFD1E5F-718C-4AF1-BD64-EFA63C77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D90"/>
    <w:rPr>
      <w:sz w:val="24"/>
    </w:rPr>
  </w:style>
  <w:style w:type="paragraph" w:styleId="Heading1">
    <w:name w:val="heading 1"/>
    <w:basedOn w:val="Title"/>
    <w:next w:val="Normal"/>
    <w:link w:val="Heading1Char"/>
    <w:uiPriority w:val="9"/>
    <w:qFormat/>
    <w:rsid w:val="00286913"/>
    <w:pPr>
      <w:jc w:val="center"/>
      <w:outlineLvl w:val="0"/>
    </w:pPr>
    <w:rPr>
      <w:b/>
      <w:color w:val="365F91" w:themeColor="accent1" w:themeShade="BF"/>
      <w:sz w:val="36"/>
    </w:rPr>
  </w:style>
  <w:style w:type="paragraph" w:styleId="Heading2">
    <w:name w:val="heading 2"/>
    <w:basedOn w:val="Normal"/>
    <w:next w:val="Normal"/>
    <w:link w:val="Heading2Char"/>
    <w:uiPriority w:val="9"/>
    <w:unhideWhenUsed/>
    <w:qFormat/>
    <w:rsid w:val="00DD3C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32EB"/>
    <w:pPr>
      <w:keepNext/>
      <w:keepLines/>
      <w:spacing w:before="200" w:after="0" w:line="259"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532EB"/>
    <w:pPr>
      <w:keepNext/>
      <w:keepLines/>
      <w:spacing w:before="200" w:after="0" w:line="259"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1"/>
    <w:qFormat/>
    <w:rsid w:val="00740DAA"/>
    <w:pPr>
      <w:widowControl w:val="0"/>
      <w:autoSpaceDE w:val="0"/>
      <w:autoSpaceDN w:val="0"/>
      <w:adjustRightInd w:val="0"/>
      <w:spacing w:after="0" w:line="240" w:lineRule="auto"/>
      <w:outlineLvl w:val="4"/>
    </w:pPr>
    <w:rPr>
      <w:rFonts w:asciiTheme="majorHAnsi" w:eastAsiaTheme="minorEastAsia" w:hAnsiTheme="majorHAnsi" w:cs="Arial"/>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3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D532EB"/>
    <w:rPr>
      <w:rFonts w:asciiTheme="majorHAnsi" w:eastAsiaTheme="majorEastAsia" w:hAnsiTheme="majorHAnsi" w:cstheme="majorBidi"/>
      <w:color w:val="17365D" w:themeColor="text2" w:themeShade="BF"/>
      <w:spacing w:val="5"/>
      <w:kern w:val="28"/>
      <w:sz w:val="32"/>
      <w:szCs w:val="52"/>
    </w:rPr>
  </w:style>
  <w:style w:type="character" w:styleId="BookTitle">
    <w:name w:val="Book Title"/>
    <w:basedOn w:val="DefaultParagraphFont"/>
    <w:uiPriority w:val="33"/>
    <w:qFormat/>
    <w:rsid w:val="00F929E7"/>
    <w:rPr>
      <w:rFonts w:asciiTheme="majorHAnsi" w:hAnsiTheme="majorHAnsi"/>
      <w:b/>
      <w:bCs/>
      <w:smallCaps/>
      <w:spacing w:val="5"/>
      <w:sz w:val="36"/>
    </w:rPr>
  </w:style>
  <w:style w:type="character" w:customStyle="1" w:styleId="Heading3Char">
    <w:name w:val="Heading 3 Char"/>
    <w:basedOn w:val="DefaultParagraphFont"/>
    <w:link w:val="Heading3"/>
    <w:uiPriority w:val="9"/>
    <w:rsid w:val="00D532EB"/>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D532EB"/>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1"/>
    <w:rsid w:val="00740DAA"/>
    <w:rPr>
      <w:rFonts w:asciiTheme="majorHAnsi" w:eastAsiaTheme="minorEastAsia" w:hAnsiTheme="majorHAnsi" w:cs="Arial"/>
      <w:iCs/>
      <w:sz w:val="24"/>
      <w:szCs w:val="24"/>
      <w:u w:val="single"/>
    </w:rPr>
  </w:style>
  <w:style w:type="character" w:customStyle="1" w:styleId="Heading1Char">
    <w:name w:val="Heading 1 Char"/>
    <w:basedOn w:val="DefaultParagraphFont"/>
    <w:link w:val="Heading1"/>
    <w:uiPriority w:val="9"/>
    <w:rsid w:val="00286913"/>
    <w:rPr>
      <w:rFonts w:asciiTheme="majorHAnsi" w:eastAsiaTheme="majorEastAsia" w:hAnsiTheme="majorHAnsi" w:cstheme="majorBidi"/>
      <w:b/>
      <w:color w:val="365F91" w:themeColor="accent1" w:themeShade="BF"/>
      <w:spacing w:val="5"/>
      <w:kern w:val="28"/>
      <w:sz w:val="36"/>
      <w:szCs w:val="52"/>
    </w:rPr>
  </w:style>
  <w:style w:type="character" w:customStyle="1" w:styleId="Heading2Char">
    <w:name w:val="Heading 2 Char"/>
    <w:basedOn w:val="DefaultParagraphFont"/>
    <w:link w:val="Heading2"/>
    <w:uiPriority w:val="9"/>
    <w:rsid w:val="00DD3C0B"/>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DD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0B"/>
    <w:rPr>
      <w:sz w:val="24"/>
    </w:rPr>
  </w:style>
  <w:style w:type="paragraph" w:styleId="Footer">
    <w:name w:val="footer"/>
    <w:basedOn w:val="Normal"/>
    <w:link w:val="FooterChar"/>
    <w:uiPriority w:val="99"/>
    <w:unhideWhenUsed/>
    <w:rsid w:val="00DD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0B"/>
    <w:rPr>
      <w:sz w:val="24"/>
    </w:rPr>
  </w:style>
  <w:style w:type="character" w:styleId="Hyperlink">
    <w:name w:val="Hyperlink"/>
    <w:basedOn w:val="DefaultParagraphFont"/>
    <w:uiPriority w:val="99"/>
    <w:unhideWhenUsed/>
    <w:rsid w:val="007C31D9"/>
    <w:rPr>
      <w:color w:val="0000FF" w:themeColor="hyperlink"/>
      <w:u w:val="single"/>
    </w:rPr>
  </w:style>
  <w:style w:type="character" w:styleId="Mention">
    <w:name w:val="Mention"/>
    <w:basedOn w:val="DefaultParagraphFont"/>
    <w:uiPriority w:val="99"/>
    <w:semiHidden/>
    <w:unhideWhenUsed/>
    <w:rsid w:val="007C31D9"/>
    <w:rPr>
      <w:color w:val="2B579A"/>
      <w:shd w:val="clear" w:color="auto" w:fill="E6E6E6"/>
    </w:rPr>
  </w:style>
  <w:style w:type="character" w:styleId="FollowedHyperlink">
    <w:name w:val="FollowedHyperlink"/>
    <w:basedOn w:val="DefaultParagraphFont"/>
    <w:uiPriority w:val="99"/>
    <w:semiHidden/>
    <w:unhideWhenUsed/>
    <w:rsid w:val="007C31D9"/>
    <w:rPr>
      <w:color w:val="800080" w:themeColor="followedHyperlink"/>
      <w:u w:val="single"/>
    </w:rPr>
  </w:style>
  <w:style w:type="paragraph" w:customStyle="1" w:styleId="Body">
    <w:name w:val="Body"/>
    <w:basedOn w:val="Normal"/>
    <w:link w:val="BodyChar"/>
    <w:autoRedefine/>
    <w:qFormat/>
    <w:rsid w:val="00286913"/>
    <w:pPr>
      <w:jc w:val="center"/>
    </w:pPr>
    <w:rPr>
      <w:color w:val="548DD4" w:themeColor="text2" w:themeTint="99"/>
      <w:shd w:val="clear" w:color="auto" w:fill="FFFFFF"/>
    </w:rPr>
  </w:style>
  <w:style w:type="character" w:customStyle="1" w:styleId="BodyChar">
    <w:name w:val="Body Char"/>
    <w:basedOn w:val="DefaultParagraphFont"/>
    <w:link w:val="Body"/>
    <w:rsid w:val="00286913"/>
    <w:rPr>
      <w:color w:val="548DD4" w:themeColor="text2" w:themeTint="9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6782">
      <w:bodyDiv w:val="1"/>
      <w:marLeft w:val="0"/>
      <w:marRight w:val="0"/>
      <w:marTop w:val="0"/>
      <w:marBottom w:val="0"/>
      <w:divBdr>
        <w:top w:val="none" w:sz="0" w:space="0" w:color="auto"/>
        <w:left w:val="none" w:sz="0" w:space="0" w:color="auto"/>
        <w:bottom w:val="none" w:sz="0" w:space="0" w:color="auto"/>
        <w:right w:val="none" w:sz="0" w:space="0" w:color="auto"/>
      </w:divBdr>
    </w:div>
    <w:div w:id="954365316">
      <w:bodyDiv w:val="1"/>
      <w:marLeft w:val="0"/>
      <w:marRight w:val="0"/>
      <w:marTop w:val="0"/>
      <w:marBottom w:val="0"/>
      <w:divBdr>
        <w:top w:val="none" w:sz="0" w:space="0" w:color="auto"/>
        <w:left w:val="none" w:sz="0" w:space="0" w:color="auto"/>
        <w:bottom w:val="none" w:sz="0" w:space="0" w:color="auto"/>
        <w:right w:val="none" w:sz="0" w:space="0" w:color="auto"/>
      </w:divBdr>
    </w:div>
    <w:div w:id="1139685547">
      <w:bodyDiv w:val="1"/>
      <w:marLeft w:val="0"/>
      <w:marRight w:val="0"/>
      <w:marTop w:val="0"/>
      <w:marBottom w:val="0"/>
      <w:divBdr>
        <w:top w:val="none" w:sz="0" w:space="0" w:color="auto"/>
        <w:left w:val="none" w:sz="0" w:space="0" w:color="auto"/>
        <w:bottom w:val="none" w:sz="0" w:space="0" w:color="auto"/>
        <w:right w:val="none" w:sz="0" w:space="0" w:color="auto"/>
      </w:divBdr>
    </w:div>
    <w:div w:id="12194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ed.gov/standards-practices/culturally-inclusive-practic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ccframework.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tendanceworks.org/resource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doe.mass.edu/sfss/student-support-teams.pdf" TargetMode="External"/><Relationship Id="rId4" Type="http://schemas.openxmlformats.org/officeDocument/2006/relationships/footnotes" Target="footnotes.xml"/><Relationship Id="rId9" Type="http://schemas.openxmlformats.org/officeDocument/2006/relationships/hyperlink" Target="http://guide.swiftschools.org/integrated-educational-framework/strong-and-positive-school-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Jonathan</dc:creator>
  <cp:keywords/>
  <dc:description/>
  <cp:lastModifiedBy>Hooks, Regina</cp:lastModifiedBy>
  <cp:revision>3</cp:revision>
  <dcterms:created xsi:type="dcterms:W3CDTF">2018-01-25T15:59:00Z</dcterms:created>
  <dcterms:modified xsi:type="dcterms:W3CDTF">2018-01-25T16:24:00Z</dcterms:modified>
</cp:coreProperties>
</file>