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0D" w:rsidRPr="00AA120D" w:rsidRDefault="00AA120D" w:rsidP="00AA120D">
      <w:pPr>
        <w:pStyle w:val="Heading2"/>
        <w:jc w:val="center"/>
        <w:rPr>
          <w:rStyle w:val="Emphasis"/>
          <w:i w:val="0"/>
          <w:iCs w:val="0"/>
          <w:color w:val="auto"/>
          <w:sz w:val="52"/>
          <w:szCs w:val="52"/>
        </w:rPr>
      </w:pPr>
      <w:r w:rsidRPr="00AA120D">
        <w:rPr>
          <w:rStyle w:val="Emphasis"/>
          <w:i w:val="0"/>
          <w:iCs w:val="0"/>
          <w:color w:val="auto"/>
          <w:sz w:val="52"/>
          <w:szCs w:val="52"/>
        </w:rPr>
        <w:t xml:space="preserve">Measures of Effectiveness </w:t>
      </w:r>
    </w:p>
    <w:p w:rsidR="00AA120D" w:rsidRDefault="00AA120D" w:rsidP="00AA120D">
      <w:pPr>
        <w:pStyle w:val="Heading2"/>
        <w:jc w:val="center"/>
        <w:rPr>
          <w:i/>
          <w:iCs/>
          <w:color w:val="auto"/>
          <w:sz w:val="28"/>
        </w:rPr>
      </w:pPr>
      <w:r>
        <w:rPr>
          <w:rStyle w:val="Emphasis"/>
          <w:i w:val="0"/>
          <w:iCs w:val="0"/>
          <w:color w:val="auto"/>
          <w:sz w:val="28"/>
        </w:rPr>
        <w:t>TITLE IV, PART B — 21</w:t>
      </w:r>
      <w:r>
        <w:rPr>
          <w:rStyle w:val="Emphasis"/>
          <w:i w:val="0"/>
          <w:iCs w:val="0"/>
          <w:color w:val="auto"/>
          <w:sz w:val="28"/>
          <w:vertAlign w:val="superscript"/>
        </w:rPr>
        <w:t>st</w:t>
      </w:r>
      <w:r>
        <w:rPr>
          <w:rStyle w:val="Emphasis"/>
          <w:i w:val="0"/>
          <w:iCs w:val="0"/>
          <w:color w:val="auto"/>
          <w:sz w:val="28"/>
        </w:rPr>
        <w:t xml:space="preserve"> Century Community Learning Centers</w:t>
      </w:r>
    </w:p>
    <w:p w:rsidR="00AA120D" w:rsidRDefault="00AA120D" w:rsidP="00AA120D">
      <w:r>
        <w:t xml:space="preserve">‘‘(b) MEASURES OF </w:t>
      </w:r>
      <w:r w:rsidR="00581676">
        <w:t>EFFECTIVENESS. —</w:t>
      </w:r>
    </w:p>
    <w:p w:rsidR="00AA120D" w:rsidRDefault="00AA120D" w:rsidP="00AA120D">
      <w:r>
        <w:t xml:space="preserve"> ‘‘(1) IN </w:t>
      </w:r>
      <w:r w:rsidR="00581676">
        <w:t>GENERAL. —</w:t>
      </w:r>
      <w:r>
        <w:t>For a program or activity developed pursuant to this part to meet the measures of effectiveness, monitored by the State educational agency as described in section 4203(a</w:t>
      </w:r>
      <w:r w:rsidR="00581676">
        <w:t>) (</w:t>
      </w:r>
      <w:r>
        <w:t>14), such program or activity shall—</w:t>
      </w:r>
    </w:p>
    <w:p w:rsidR="00AA120D" w:rsidRDefault="00AA120D" w:rsidP="00AA120D">
      <w:r>
        <w:t>‘‘(A) be based upon an assessment of objective data regarding the need for before and after school (or summer recess) programs and activities in the schools and communities;</w:t>
      </w:r>
    </w:p>
    <w:p w:rsidR="00AA120D" w:rsidRDefault="00AA120D" w:rsidP="00AA120D">
      <w:r>
        <w:t>‘‘(B) be based upon an established set of performance measures aimed at ensuring the availability of high-quality academic enrichment opportunities;</w:t>
      </w:r>
    </w:p>
    <w:p w:rsidR="00AA120D" w:rsidRDefault="00AA120D" w:rsidP="00AA120D">
      <w:r>
        <w:t>‘‘(C) if appropriate, be based upon evidence-based research that the program or activity will help students meet the challenging State academic standards and any local academic standards;</w:t>
      </w:r>
    </w:p>
    <w:p w:rsidR="00AA120D" w:rsidRDefault="00AA120D" w:rsidP="00AA120D">
      <w:r>
        <w:t>‘‘(D) ensure that measures of student success align with the regular academic program of the school and the academic needs of participating students and include performance indicators and measures described in section 4203(a</w:t>
      </w:r>
      <w:r w:rsidR="00581676">
        <w:t>) (14) (</w:t>
      </w:r>
      <w:r>
        <w:t>A); and</w:t>
      </w:r>
    </w:p>
    <w:p w:rsidR="00AA120D" w:rsidRDefault="00AA120D" w:rsidP="00AA120D">
      <w:r>
        <w:t>‘‘(E) collect the data necessary for the measures of student success described in subparagraph (D).</w:t>
      </w:r>
    </w:p>
    <w:p w:rsidR="00AA120D" w:rsidRDefault="00AA120D" w:rsidP="00AA120D">
      <w:r>
        <w:t xml:space="preserve">‘‘(2) PERIODIC </w:t>
      </w:r>
      <w:r w:rsidR="00581676">
        <w:t>EVALUATION. —</w:t>
      </w:r>
    </w:p>
    <w:p w:rsidR="00AA120D" w:rsidRDefault="00AA120D" w:rsidP="00AA120D">
      <w:r>
        <w:t xml:space="preserve">‘‘(A) IN </w:t>
      </w:r>
      <w:r w:rsidR="00581676">
        <w:t>GENERAL. —</w:t>
      </w:r>
      <w:r>
        <w:t>The program or activity shall undergo a periodic evaluation in conjunction with the State educational agency’s overall evaluation plan as described in section 4203(a</w:t>
      </w:r>
      <w:r w:rsidR="00581676">
        <w:t>) (</w:t>
      </w:r>
      <w:r>
        <w:t>14), to assess the program’s progress toward achieving the goal of providing high-quality opportunities for academic enrichment and overall student success.</w:t>
      </w:r>
    </w:p>
    <w:p w:rsidR="00AA120D" w:rsidRDefault="00AA120D" w:rsidP="00AA120D">
      <w:r>
        <w:t xml:space="preserve">‘‘(B) USE OF </w:t>
      </w:r>
      <w:r w:rsidR="00581676">
        <w:t>RESULTS. —</w:t>
      </w:r>
      <w:r>
        <w:t>The results of evaluations under subparagraph (A) shall be—</w:t>
      </w:r>
    </w:p>
    <w:p w:rsidR="00AA120D" w:rsidRDefault="00AA120D" w:rsidP="00AA120D">
      <w:r>
        <w:t>‘‘(</w:t>
      </w:r>
      <w:r w:rsidR="00581676">
        <w:t>i</w:t>
      </w:r>
      <w:bookmarkStart w:id="0" w:name="_GoBack"/>
      <w:bookmarkEnd w:id="0"/>
      <w:r>
        <w:t>) used to refine, improve, and strengthen the program or activity, and to refine the performance measures;</w:t>
      </w:r>
    </w:p>
    <w:p w:rsidR="00AA120D" w:rsidRDefault="00AA120D" w:rsidP="00AA120D">
      <w:r>
        <w:t xml:space="preserve">‘‘(ii) made available to the public upon request, with public notice of such availability provided; and </w:t>
      </w:r>
    </w:p>
    <w:p w:rsidR="00AA120D" w:rsidRDefault="00AA120D" w:rsidP="00AA120D">
      <w:r>
        <w:t>‘‘(iii) used by the State to determine whether a sub-grant is eligible to be renewed under section 4204(j).</w:t>
      </w:r>
    </w:p>
    <w:p w:rsidR="000B59E6" w:rsidRDefault="00581676"/>
    <w:sectPr w:rsidR="000B5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0D"/>
    <w:rsid w:val="00011653"/>
    <w:rsid w:val="00581676"/>
    <w:rsid w:val="006529A3"/>
    <w:rsid w:val="00AA120D"/>
    <w:rsid w:val="00FB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53D"/>
  <w15:chartTrackingRefBased/>
  <w15:docId w15:val="{5F27353A-938D-4057-8350-5FA62A1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2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120D"/>
    <w:pPr>
      <w:keepNext/>
      <w:shd w:val="clear" w:color="auto" w:fill="FFFFFF"/>
      <w:spacing w:before="100" w:beforeAutospacing="1" w:after="240"/>
      <w:ind w:left="360"/>
      <w:jc w:val="both"/>
      <w:outlineLvl w:val="1"/>
    </w:pPr>
    <w:rPr>
      <w:b/>
      <w:bCs/>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120D"/>
    <w:rPr>
      <w:rFonts w:ascii="Times New Roman" w:eastAsia="Times New Roman" w:hAnsi="Times New Roman" w:cs="Times New Roman"/>
      <w:b/>
      <w:bCs/>
      <w:color w:val="003366"/>
      <w:sz w:val="24"/>
      <w:szCs w:val="20"/>
      <w:shd w:val="clear" w:color="auto" w:fill="FFFFFF"/>
    </w:rPr>
  </w:style>
  <w:style w:type="character" w:styleId="Emphasis">
    <w:name w:val="Emphasis"/>
    <w:qFormat/>
    <w:rsid w:val="00AA1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Molly</dc:creator>
  <cp:keywords/>
  <dc:description/>
  <cp:lastModifiedBy>Kemp, Molly</cp:lastModifiedBy>
  <cp:revision>2</cp:revision>
  <dcterms:created xsi:type="dcterms:W3CDTF">2018-06-25T16:48:00Z</dcterms:created>
  <dcterms:modified xsi:type="dcterms:W3CDTF">2018-06-25T16:58:00Z</dcterms:modified>
</cp:coreProperties>
</file>