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36"/>
          <w:szCs w:val="36"/>
          <w:rtl w:val="0"/>
        </w:rPr>
        <w:t xml:space="preserve">Professional Learning Design Sketch</w:t>
      </w:r>
      <w:r w:rsidDel="00000000" w:rsidR="00000000" w:rsidRPr="00000000">
        <w:rPr>
          <w:rtl w:val="0"/>
        </w:rPr>
      </w:r>
    </w:p>
    <w:p w:rsidR="00000000" w:rsidDel="00000000" w:rsidP="00000000" w:rsidRDefault="00000000" w:rsidRPr="00000000" w14:paraId="00000002">
      <w:pPr>
        <w:widowControl w:val="0"/>
        <w:spacing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Learning Experience Duration: @50 hours over one school year</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3">
      <w:pPr>
        <w:widowControl w:val="0"/>
        <w:spacing w:line="240" w:lineRule="auto"/>
        <w:ind w:left="-180" w:firstLine="0"/>
        <w:rPr>
          <w:rFonts w:ascii="Proxima Nova" w:cs="Proxima Nova" w:eastAsia="Proxima Nova" w:hAnsi="Proxima Nova"/>
        </w:rPr>
      </w:pPr>
      <w:r w:rsidDel="00000000" w:rsidR="00000000" w:rsidRPr="00000000">
        <w:rPr>
          <w:rtl w:val="0"/>
        </w:rPr>
      </w:r>
    </w:p>
    <w:tbl>
      <w:tblPr>
        <w:tblStyle w:val="Table1"/>
        <w:tblW w:w="1425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95"/>
        <w:gridCol w:w="8055"/>
        <w:tblGridChange w:id="0">
          <w:tblGrid>
            <w:gridCol w:w="6195"/>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Draft Learning Goals:</w:t>
            </w:r>
          </w:p>
          <w:p w:rsidR="00000000" w:rsidDel="00000000" w:rsidP="00000000" w:rsidRDefault="00000000" w:rsidRPr="00000000" w14:paraId="00000005">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i w:val="1"/>
                <w:sz w:val="20"/>
                <w:szCs w:val="20"/>
                <w:rtl w:val="0"/>
              </w:rPr>
              <w:t xml:space="preserve">What is the learning intended by the end of this experience?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Draft Success Criteria:</w:t>
            </w:r>
          </w:p>
          <w:p w:rsidR="00000000" w:rsidDel="00000000" w:rsidP="00000000" w:rsidRDefault="00000000" w:rsidRPr="00000000" w14:paraId="00000008">
            <w:pPr>
              <w:spacing w:line="240" w:lineRule="auto"/>
              <w:rPr>
                <w:rFonts w:ascii="Proxima Nova" w:cs="Proxima Nova" w:eastAsia="Proxima Nova" w:hAnsi="Proxima Nova"/>
              </w:rPr>
            </w:pPr>
            <w:r w:rsidDel="00000000" w:rsidR="00000000" w:rsidRPr="00000000">
              <w:rPr>
                <w:rFonts w:ascii="Proxima Nova" w:cs="Proxima Nova" w:eastAsia="Proxima Nova" w:hAnsi="Proxima Nova"/>
                <w:i w:val="1"/>
                <w:sz w:val="20"/>
                <w:szCs w:val="20"/>
                <w:rtl w:val="0"/>
              </w:rPr>
              <w:t xml:space="preserve">What will it look like when teachers meet the Learning Goal(s)?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0A">
      <w:pPr>
        <w:widowControl w:val="0"/>
        <w:spacing w:line="240" w:lineRule="auto"/>
        <w:ind w:firstLine="0"/>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B">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Sketch your ideas for an ideal adult learning journey that you would like to do (or lead) next year. In your sketch, consider ways to highlight how adult learning mirrors student learning and clarify where learning dispositions are cultivated. You may want to draw a timeline, a curving path, or other shapes to represent your ideas. Be creative and bold, and try to ignore constraints as you imagine the possibilities.</w:t>
      </w:r>
    </w:p>
    <w:sectPr>
      <w:footerReference r:id="rId6" w:type="default"/>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after="160" w:line="259" w:lineRule="auto"/>
      <w:jc w:val="right"/>
      <w:rPr/>
    </w:pPr>
    <w:r w:rsidDel="00000000" w:rsidR="00000000" w:rsidRPr="00000000">
      <w:rPr>
        <w:rFonts w:ascii="Calibri" w:cs="Calibri" w:eastAsia="Calibri" w:hAnsi="Calibri"/>
      </w:rPr>
      <w:drawing>
        <wp:inline distB="114300" distT="114300" distL="114300" distR="114300">
          <wp:extent cx="866775" cy="2381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6775" cy="238125"/>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