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Spec="center" w:tblpY="360"/>
        <w:tblW w:w="123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115" w:type="dxa"/>
          <w:right w:w="75" w:type="dxa"/>
        </w:tblCellMar>
        <w:tblLook w:val="04A0" w:firstRow="1" w:lastRow="0" w:firstColumn="1" w:lastColumn="0" w:noHBand="0" w:noVBand="1"/>
      </w:tblPr>
      <w:tblGrid>
        <w:gridCol w:w="6384"/>
        <w:gridCol w:w="5941"/>
      </w:tblGrid>
      <w:tr w:rsidR="00F31827" w:rsidRPr="00F31827" w14:paraId="53F3E3BF" w14:textId="77777777" w:rsidTr="00F31827">
        <w:trPr>
          <w:trHeight w:val="2530"/>
        </w:trPr>
        <w:tc>
          <w:tcPr>
            <w:tcW w:w="6384" w:type="dxa"/>
            <w:shd w:val="clear" w:color="auto" w:fill="632422"/>
            <w:vAlign w:val="center"/>
          </w:tcPr>
          <w:p w14:paraId="63E0CB1C" w14:textId="11B85992" w:rsidR="00F31827" w:rsidRPr="00F31827" w:rsidRDefault="00F31827" w:rsidP="00F31827">
            <w:pPr>
              <w:spacing w:after="0" w:line="259" w:lineRule="auto"/>
              <w:ind w:left="0" w:right="0" w:firstLine="0"/>
              <w:jc w:val="center"/>
              <w:rPr>
                <w:rFonts w:ascii="Times New Roman" w:hAnsi="Times New Roman" w:cs="Times New Roman"/>
                <w:sz w:val="36"/>
                <w:szCs w:val="36"/>
              </w:rPr>
            </w:pPr>
            <w:r w:rsidRPr="00F31827">
              <w:rPr>
                <w:rFonts w:ascii="Times New Roman" w:hAnsi="Times New Roman" w:cs="Times New Roman"/>
                <w:color w:val="E7E6E6" w:themeColor="background2"/>
                <w:sz w:val="36"/>
                <w:szCs w:val="36"/>
              </w:rPr>
              <w:t>ARS 15-393</w:t>
            </w:r>
            <w:r w:rsidR="00F203FC">
              <w:rPr>
                <w:rFonts w:ascii="Times New Roman" w:hAnsi="Times New Roman" w:cs="Times New Roman"/>
                <w:color w:val="E7E6E6" w:themeColor="background2"/>
                <w:sz w:val="36"/>
                <w:szCs w:val="36"/>
              </w:rPr>
              <w:t>(V)</w:t>
            </w:r>
          </w:p>
        </w:tc>
        <w:tc>
          <w:tcPr>
            <w:tcW w:w="5941" w:type="dxa"/>
            <w:shd w:val="clear" w:color="auto" w:fill="4472C4" w:themeFill="accent1"/>
            <w:vAlign w:val="center"/>
          </w:tcPr>
          <w:p w14:paraId="41DCF01A" w14:textId="4373FDAF" w:rsidR="00F31827" w:rsidRPr="00F31827" w:rsidRDefault="00F31827" w:rsidP="00F31827">
            <w:pPr>
              <w:spacing w:after="0" w:line="259" w:lineRule="auto"/>
              <w:ind w:left="0" w:right="0" w:firstLine="0"/>
              <w:jc w:val="center"/>
              <w:rPr>
                <w:rFonts w:ascii="Times New Roman" w:hAnsi="Times New Roman" w:cs="Times New Roman"/>
                <w:color w:val="FFFFFF"/>
                <w:sz w:val="36"/>
                <w:szCs w:val="36"/>
              </w:rPr>
            </w:pPr>
            <w:r w:rsidRPr="00F31827">
              <w:rPr>
                <w:rFonts w:ascii="Times New Roman" w:hAnsi="Times New Roman" w:cs="Times New Roman"/>
                <w:color w:val="FFFFFF"/>
                <w:sz w:val="36"/>
                <w:szCs w:val="36"/>
              </w:rPr>
              <w:t>HLC</w:t>
            </w:r>
          </w:p>
        </w:tc>
      </w:tr>
      <w:tr w:rsidR="00F31827" w:rsidRPr="00F31827" w14:paraId="7B70B04A" w14:textId="77777777" w:rsidTr="00F31827">
        <w:trPr>
          <w:trHeight w:val="2530"/>
        </w:trPr>
        <w:tc>
          <w:tcPr>
            <w:tcW w:w="6384" w:type="dxa"/>
          </w:tcPr>
          <w:p w14:paraId="7DA960BB" w14:textId="5FD526DE" w:rsidR="00F203FC" w:rsidRPr="00F203FC" w:rsidRDefault="00F203FC" w:rsidP="00F203FC">
            <w:pPr>
              <w:pStyle w:val="ListParagraph"/>
              <w:numPr>
                <w:ilvl w:val="0"/>
                <w:numId w:val="5"/>
              </w:numPr>
              <w:spacing w:after="0" w:line="259" w:lineRule="auto"/>
              <w:ind w:right="0"/>
              <w:rPr>
                <w:rFonts w:ascii="Times New Roman" w:hAnsi="Times New Roman" w:cs="Times New Roman"/>
                <w:b/>
                <w:sz w:val="24"/>
                <w:szCs w:val="24"/>
              </w:rPr>
            </w:pPr>
            <w:r w:rsidRPr="00F203FC">
              <w:rPr>
                <w:rFonts w:ascii="Times New Roman" w:hAnsi="Times New Roman" w:cs="Times New Roman"/>
                <w:b/>
                <w:sz w:val="24"/>
                <w:szCs w:val="24"/>
              </w:rPr>
              <w:t>Standards-Aligned and Integrated Curriculum and Engaging Instruction.</w:t>
            </w:r>
          </w:p>
          <w:p w14:paraId="791A4B34" w14:textId="4615293F" w:rsidR="00F31827" w:rsidRPr="00F203FC" w:rsidRDefault="00F203FC" w:rsidP="00F203FC">
            <w:pPr>
              <w:spacing w:after="0" w:line="259" w:lineRule="auto"/>
              <w:ind w:left="370" w:right="0"/>
              <w:rPr>
                <w:rFonts w:ascii="Times New Roman" w:hAnsi="Times New Roman" w:cs="Times New Roman"/>
                <w:sz w:val="24"/>
                <w:szCs w:val="24"/>
              </w:rPr>
            </w:pPr>
            <w:r w:rsidRPr="00F203FC">
              <w:rPr>
                <w:rFonts w:ascii="Times New Roman" w:hAnsi="Times New Roman" w:cs="Times New Roman"/>
                <w:sz w:val="24"/>
                <w:szCs w:val="24"/>
              </w:rPr>
              <w:t>Program courses in the community college program are aligned to state program standards</w:t>
            </w:r>
            <w:r>
              <w:rPr>
                <w:rFonts w:ascii="Times New Roman" w:hAnsi="Times New Roman" w:cs="Times New Roman"/>
                <w:sz w:val="24"/>
                <w:szCs w:val="24"/>
              </w:rPr>
              <w:t>.</w:t>
            </w:r>
          </w:p>
        </w:tc>
        <w:tc>
          <w:tcPr>
            <w:tcW w:w="5941" w:type="dxa"/>
          </w:tcPr>
          <w:p w14:paraId="532DB64B" w14:textId="77777777" w:rsidR="00F31827" w:rsidRDefault="009934D2" w:rsidP="00F203FC">
            <w:pPr>
              <w:spacing w:after="0" w:line="259" w:lineRule="auto"/>
              <w:ind w:left="0" w:right="30" w:firstLine="0"/>
              <w:rPr>
                <w:rFonts w:ascii="Times New Roman" w:eastAsia="Wingdings" w:hAnsi="Times New Roman" w:cs="Times New Roman"/>
                <w:sz w:val="24"/>
                <w:szCs w:val="24"/>
              </w:rPr>
            </w:pPr>
            <w:r w:rsidRPr="009848BE">
              <w:rPr>
                <w:rFonts w:ascii="Times New Roman" w:eastAsia="Wingdings" w:hAnsi="Times New Roman" w:cs="Times New Roman"/>
                <w:b/>
                <w:sz w:val="24"/>
                <w:szCs w:val="24"/>
              </w:rPr>
              <w:t>HLC Criterion 3.A.1</w:t>
            </w:r>
            <w:r>
              <w:rPr>
                <w:rFonts w:ascii="Times New Roman" w:eastAsia="Wingdings" w:hAnsi="Times New Roman" w:cs="Times New Roman"/>
                <w:sz w:val="24"/>
                <w:szCs w:val="24"/>
              </w:rPr>
              <w:t xml:space="preserve"> –</w:t>
            </w:r>
            <w:r>
              <w:t xml:space="preserve"> </w:t>
            </w:r>
            <w:r w:rsidRPr="009934D2">
              <w:rPr>
                <w:rFonts w:ascii="Times New Roman" w:eastAsia="Wingdings" w:hAnsi="Times New Roman" w:cs="Times New Roman"/>
                <w:sz w:val="24"/>
                <w:szCs w:val="24"/>
              </w:rPr>
              <w:t>Courses and programs are current and require levels of student performance appropriate to the credential awarded.</w:t>
            </w:r>
          </w:p>
          <w:p w14:paraId="5F373642" w14:textId="77777777" w:rsidR="009848BE" w:rsidRDefault="009848BE" w:rsidP="00F203FC">
            <w:pPr>
              <w:spacing w:after="0" w:line="259" w:lineRule="auto"/>
              <w:ind w:left="0" w:right="30" w:firstLine="0"/>
              <w:rPr>
                <w:rFonts w:ascii="Times New Roman" w:eastAsia="Wingdings" w:hAnsi="Times New Roman" w:cs="Times New Roman"/>
                <w:sz w:val="24"/>
                <w:szCs w:val="24"/>
              </w:rPr>
            </w:pPr>
          </w:p>
          <w:p w14:paraId="00C407ED" w14:textId="7E62AFC6" w:rsidR="009848BE" w:rsidRPr="00F31827" w:rsidRDefault="009848BE" w:rsidP="00F203FC">
            <w:pPr>
              <w:spacing w:after="0" w:line="259" w:lineRule="auto"/>
              <w:ind w:left="0" w:right="30" w:firstLine="0"/>
              <w:rPr>
                <w:rFonts w:ascii="Times New Roman" w:eastAsia="Wingdings" w:hAnsi="Times New Roman" w:cs="Times New Roman"/>
                <w:sz w:val="24"/>
                <w:szCs w:val="24"/>
              </w:rPr>
            </w:pPr>
            <w:r w:rsidRPr="009848BE">
              <w:rPr>
                <w:rFonts w:ascii="Times New Roman" w:eastAsia="Wingdings" w:hAnsi="Times New Roman" w:cs="Times New Roman"/>
                <w:b/>
                <w:sz w:val="24"/>
                <w:szCs w:val="24"/>
              </w:rPr>
              <w:t>HLC Criterion 3.A.3</w:t>
            </w:r>
            <w:r>
              <w:rPr>
                <w:rFonts w:ascii="Times New Roman" w:eastAsia="Wingdings" w:hAnsi="Times New Roman" w:cs="Times New Roman"/>
                <w:sz w:val="24"/>
                <w:szCs w:val="24"/>
              </w:rPr>
              <w:t xml:space="preserve"> –</w:t>
            </w:r>
            <w:r>
              <w:t xml:space="preserve"> </w:t>
            </w:r>
            <w:r w:rsidRPr="009848BE">
              <w:rPr>
                <w:rFonts w:ascii="Times New Roman" w:eastAsia="Wingdings" w:hAnsi="Times New Roman" w:cs="Times New Roman"/>
                <w:sz w:val="24"/>
                <w:szCs w:val="24"/>
              </w:rPr>
              <w:t xml:space="preserve">The institution’s program quality and learning goals are consistent across all modes of delivery and all locations (on the main campus, at additional locations, by distance delivery, as dual credit, through contractual or </w:t>
            </w:r>
            <w:proofErr w:type="spellStart"/>
            <w:r w:rsidRPr="009848BE">
              <w:rPr>
                <w:rFonts w:ascii="Times New Roman" w:eastAsia="Wingdings" w:hAnsi="Times New Roman" w:cs="Times New Roman"/>
                <w:sz w:val="24"/>
                <w:szCs w:val="24"/>
              </w:rPr>
              <w:t>consortial</w:t>
            </w:r>
            <w:proofErr w:type="spellEnd"/>
            <w:r w:rsidRPr="009848BE">
              <w:rPr>
                <w:rFonts w:ascii="Times New Roman" w:eastAsia="Wingdings" w:hAnsi="Times New Roman" w:cs="Times New Roman"/>
                <w:sz w:val="24"/>
                <w:szCs w:val="24"/>
              </w:rPr>
              <w:t xml:space="preserve"> arrangements, or any other modality).</w:t>
            </w:r>
          </w:p>
        </w:tc>
      </w:tr>
      <w:tr w:rsidR="00F31827" w:rsidRPr="00F31827" w14:paraId="122DF91F" w14:textId="77777777" w:rsidTr="00F31827">
        <w:trPr>
          <w:trHeight w:val="2530"/>
        </w:trPr>
        <w:tc>
          <w:tcPr>
            <w:tcW w:w="6384" w:type="dxa"/>
          </w:tcPr>
          <w:p w14:paraId="6277CF87" w14:textId="77777777" w:rsidR="00F203FC" w:rsidRPr="00F203FC" w:rsidRDefault="00F203FC" w:rsidP="00F203FC">
            <w:pPr>
              <w:pStyle w:val="ListParagraph"/>
              <w:numPr>
                <w:ilvl w:val="0"/>
                <w:numId w:val="5"/>
              </w:numPr>
              <w:spacing w:after="0" w:line="259" w:lineRule="auto"/>
              <w:ind w:right="0"/>
              <w:rPr>
                <w:rFonts w:ascii="Times New Roman" w:hAnsi="Times New Roman" w:cs="Times New Roman"/>
                <w:b/>
                <w:sz w:val="24"/>
                <w:szCs w:val="24"/>
              </w:rPr>
            </w:pPr>
            <w:r w:rsidRPr="00F203FC">
              <w:rPr>
                <w:rFonts w:ascii="Times New Roman" w:hAnsi="Times New Roman" w:cs="Times New Roman"/>
                <w:b/>
                <w:sz w:val="24"/>
                <w:szCs w:val="24"/>
              </w:rPr>
              <w:t>Prepared and Effective Program Staff</w:t>
            </w:r>
          </w:p>
          <w:p w14:paraId="010444F8" w14:textId="29614AE1" w:rsidR="00F31827" w:rsidRPr="00F203FC" w:rsidRDefault="00F203FC" w:rsidP="00F203FC">
            <w:pPr>
              <w:spacing w:after="0" w:line="259" w:lineRule="auto"/>
              <w:ind w:left="370" w:right="0"/>
              <w:rPr>
                <w:rFonts w:ascii="Times New Roman" w:hAnsi="Times New Roman" w:cs="Times New Roman"/>
                <w:sz w:val="24"/>
                <w:szCs w:val="24"/>
              </w:rPr>
            </w:pPr>
            <w:r w:rsidRPr="00F203FC">
              <w:rPr>
                <w:rFonts w:ascii="Times New Roman" w:hAnsi="Times New Roman" w:cs="Times New Roman"/>
                <w:sz w:val="24"/>
                <w:szCs w:val="24"/>
              </w:rPr>
              <w:t>This element addresses the qualifications and professional development of program staff, including secondary CTE instructors.</w:t>
            </w:r>
          </w:p>
        </w:tc>
        <w:tc>
          <w:tcPr>
            <w:tcW w:w="5941" w:type="dxa"/>
          </w:tcPr>
          <w:p w14:paraId="2DE92815" w14:textId="61CF5874" w:rsidR="00F31827" w:rsidRDefault="0065075F" w:rsidP="00F31827">
            <w:pPr>
              <w:spacing w:after="0" w:line="259" w:lineRule="auto"/>
              <w:ind w:right="0"/>
              <w:rPr>
                <w:rFonts w:ascii="Times New Roman" w:eastAsia="Wingdings" w:hAnsi="Times New Roman" w:cs="Times New Roman"/>
                <w:sz w:val="24"/>
                <w:szCs w:val="24"/>
              </w:rPr>
            </w:pPr>
            <w:r w:rsidRPr="009848BE">
              <w:rPr>
                <w:rFonts w:ascii="Times New Roman" w:eastAsia="Wingdings" w:hAnsi="Times New Roman" w:cs="Times New Roman"/>
                <w:b/>
                <w:sz w:val="24"/>
                <w:szCs w:val="24"/>
              </w:rPr>
              <w:t>HLC Criterion 3.C.3</w:t>
            </w:r>
            <w:r>
              <w:rPr>
                <w:rFonts w:ascii="Times New Roman" w:eastAsia="Wingdings" w:hAnsi="Times New Roman" w:cs="Times New Roman"/>
                <w:sz w:val="24"/>
                <w:szCs w:val="24"/>
              </w:rPr>
              <w:t xml:space="preserve"> – </w:t>
            </w:r>
            <w:r w:rsidRPr="0065075F">
              <w:rPr>
                <w:rFonts w:ascii="Times New Roman" w:eastAsia="Wingdings" w:hAnsi="Times New Roman" w:cs="Times New Roman"/>
                <w:sz w:val="24"/>
                <w:szCs w:val="24"/>
              </w:rPr>
              <w:t xml:space="preserve">All instructors are appropriately qualified, including those in dual credit, contractual and </w:t>
            </w:r>
            <w:proofErr w:type="spellStart"/>
            <w:r w:rsidRPr="0065075F">
              <w:rPr>
                <w:rFonts w:ascii="Times New Roman" w:eastAsia="Wingdings" w:hAnsi="Times New Roman" w:cs="Times New Roman"/>
                <w:sz w:val="24"/>
                <w:szCs w:val="24"/>
              </w:rPr>
              <w:t>consortial</w:t>
            </w:r>
            <w:proofErr w:type="spellEnd"/>
            <w:r w:rsidRPr="0065075F">
              <w:rPr>
                <w:rFonts w:ascii="Times New Roman" w:eastAsia="Wingdings" w:hAnsi="Times New Roman" w:cs="Times New Roman"/>
                <w:sz w:val="24"/>
                <w:szCs w:val="24"/>
              </w:rPr>
              <w:t xml:space="preserve"> offerings.</w:t>
            </w:r>
          </w:p>
          <w:p w14:paraId="571BBB5C" w14:textId="77777777" w:rsidR="0065075F" w:rsidRDefault="0065075F" w:rsidP="00F31827">
            <w:pPr>
              <w:spacing w:after="0" w:line="259" w:lineRule="auto"/>
              <w:ind w:right="0"/>
              <w:rPr>
                <w:rFonts w:ascii="Times New Roman" w:eastAsia="Wingdings" w:hAnsi="Times New Roman" w:cs="Times New Roman"/>
                <w:sz w:val="24"/>
                <w:szCs w:val="24"/>
              </w:rPr>
            </w:pPr>
          </w:p>
          <w:p w14:paraId="62737980" w14:textId="371F5347" w:rsidR="0065075F" w:rsidRDefault="0065075F" w:rsidP="00F31827">
            <w:pPr>
              <w:spacing w:after="0" w:line="259" w:lineRule="auto"/>
              <w:ind w:right="0"/>
              <w:rPr>
                <w:rFonts w:ascii="Times New Roman" w:eastAsia="Wingdings" w:hAnsi="Times New Roman" w:cs="Times New Roman"/>
                <w:sz w:val="24"/>
                <w:szCs w:val="24"/>
              </w:rPr>
            </w:pPr>
            <w:r w:rsidRPr="009848BE">
              <w:rPr>
                <w:rFonts w:ascii="Times New Roman" w:eastAsia="Wingdings" w:hAnsi="Times New Roman" w:cs="Times New Roman"/>
                <w:b/>
                <w:sz w:val="24"/>
                <w:szCs w:val="24"/>
              </w:rPr>
              <w:t>HLC Criterion 3.C</w:t>
            </w:r>
            <w:r>
              <w:rPr>
                <w:rFonts w:ascii="Times New Roman" w:eastAsia="Wingdings" w:hAnsi="Times New Roman" w:cs="Times New Roman"/>
                <w:sz w:val="24"/>
                <w:szCs w:val="24"/>
              </w:rPr>
              <w:t xml:space="preserve"> – </w:t>
            </w:r>
            <w:r w:rsidRPr="0065075F">
              <w:rPr>
                <w:rFonts w:ascii="Times New Roman" w:eastAsia="Wingdings" w:hAnsi="Times New Roman" w:cs="Times New Roman"/>
                <w:sz w:val="24"/>
                <w:szCs w:val="24"/>
              </w:rPr>
              <w:t>The institution has processes and resources for assuring that instructors are current in their disciplines and adept in their teaching roles; it supports their professional development.</w:t>
            </w:r>
          </w:p>
          <w:p w14:paraId="10274804" w14:textId="77777777" w:rsidR="0065075F" w:rsidRDefault="0065075F" w:rsidP="00F31827">
            <w:pPr>
              <w:spacing w:after="0" w:line="259" w:lineRule="auto"/>
              <w:ind w:right="0"/>
              <w:rPr>
                <w:rFonts w:ascii="Times New Roman" w:eastAsia="Wingdings" w:hAnsi="Times New Roman" w:cs="Times New Roman"/>
                <w:sz w:val="24"/>
                <w:szCs w:val="24"/>
              </w:rPr>
            </w:pPr>
          </w:p>
          <w:p w14:paraId="1BD69565" w14:textId="4E02723C" w:rsidR="0065075F" w:rsidRPr="00F31827" w:rsidRDefault="0065075F" w:rsidP="00F31827">
            <w:pPr>
              <w:spacing w:after="0" w:line="259" w:lineRule="auto"/>
              <w:ind w:right="0"/>
              <w:rPr>
                <w:rFonts w:ascii="Times New Roman" w:eastAsia="Wingdings" w:hAnsi="Times New Roman" w:cs="Times New Roman"/>
                <w:sz w:val="24"/>
                <w:szCs w:val="24"/>
              </w:rPr>
            </w:pPr>
            <w:r w:rsidRPr="009848BE">
              <w:rPr>
                <w:rFonts w:ascii="Times New Roman" w:eastAsia="Wingdings" w:hAnsi="Times New Roman" w:cs="Times New Roman"/>
                <w:b/>
                <w:sz w:val="24"/>
                <w:szCs w:val="24"/>
              </w:rPr>
              <w:t>HLC Assumed Practice B.2.a</w:t>
            </w:r>
            <w:r>
              <w:rPr>
                <w:rFonts w:ascii="Times New Roman" w:eastAsia="Wingdings" w:hAnsi="Times New Roman" w:cs="Times New Roman"/>
                <w:sz w:val="24"/>
                <w:szCs w:val="24"/>
              </w:rPr>
              <w:t xml:space="preserve"> – </w:t>
            </w:r>
            <w:r w:rsidRPr="0065075F">
              <w:rPr>
                <w:rFonts w:ascii="Times New Roman" w:eastAsia="Wingdings" w:hAnsi="Times New Roman" w:cs="Times New Roman"/>
                <w:sz w:val="24"/>
                <w:szCs w:val="24"/>
              </w:rPr>
              <w:t xml:space="preserve">Qualified faculty members are identified primarily by credentials, but other factors, including but not limited to equivalent experience, may be considered by the institution in determining </w:t>
            </w:r>
            <w:r w:rsidRPr="0065075F">
              <w:rPr>
                <w:rFonts w:ascii="Times New Roman" w:eastAsia="Wingdings" w:hAnsi="Times New Roman" w:cs="Times New Roman"/>
                <w:sz w:val="24"/>
                <w:szCs w:val="24"/>
              </w:rPr>
              <w:lastRenderedPageBreak/>
              <w:t>whether a faculty member is qualified. Instructors (excluding for this requirement teaching assistants enrolled in a graduate program and supervised by faculty) possess an academic degree relevant to what they are teaching and at least one level above the level at which they teach, except in programs for terminal degrees or when equivalent experience is established. In terminal degree programs, faculty members possess the same level of degree. When faculty members are employed based on equivalent experience, the institution defines a minimum threshold of experience and an evaluation process that is used in the appointment process. Faculty teaching general education courses, or other non-occupational courses, hold a master’s degree or higher in the discipline or subfield. If a faculty member holds a master’s degree or higher in a discipline or subfield other than that in which he or she is teaching, that faculty member should have completed a minimum of 18 graduate credit hours in the discipline or subfield in which they teach.</w:t>
            </w:r>
          </w:p>
        </w:tc>
      </w:tr>
      <w:tr w:rsidR="00F31827" w:rsidRPr="00F31827" w14:paraId="1624C903" w14:textId="77777777" w:rsidTr="00F31827">
        <w:trPr>
          <w:trHeight w:val="2530"/>
        </w:trPr>
        <w:tc>
          <w:tcPr>
            <w:tcW w:w="6384" w:type="dxa"/>
          </w:tcPr>
          <w:p w14:paraId="2DCBAB7B" w14:textId="77777777" w:rsidR="00F203FC" w:rsidRPr="00F203FC" w:rsidRDefault="00F203FC" w:rsidP="00F203FC">
            <w:pPr>
              <w:pStyle w:val="ListParagraph"/>
              <w:numPr>
                <w:ilvl w:val="0"/>
                <w:numId w:val="5"/>
              </w:numPr>
              <w:spacing w:after="0" w:line="259" w:lineRule="auto"/>
              <w:ind w:right="0"/>
              <w:rPr>
                <w:rFonts w:ascii="Times New Roman" w:hAnsi="Times New Roman" w:cs="Times New Roman"/>
                <w:b/>
                <w:sz w:val="24"/>
                <w:szCs w:val="24"/>
              </w:rPr>
            </w:pPr>
            <w:r w:rsidRPr="00F203FC">
              <w:rPr>
                <w:rFonts w:ascii="Times New Roman" w:hAnsi="Times New Roman" w:cs="Times New Roman"/>
                <w:b/>
                <w:sz w:val="24"/>
                <w:szCs w:val="24"/>
              </w:rPr>
              <w:lastRenderedPageBreak/>
              <w:t>Access and Equity</w:t>
            </w:r>
          </w:p>
          <w:p w14:paraId="1F076A3D" w14:textId="77777777" w:rsidR="00F31827" w:rsidRDefault="00F203FC" w:rsidP="00F203FC">
            <w:pPr>
              <w:spacing w:after="0" w:line="259" w:lineRule="auto"/>
              <w:ind w:left="370" w:right="0"/>
              <w:rPr>
                <w:rFonts w:ascii="Times New Roman" w:hAnsi="Times New Roman" w:cs="Times New Roman"/>
                <w:sz w:val="24"/>
                <w:szCs w:val="24"/>
              </w:rPr>
            </w:pPr>
            <w:r w:rsidRPr="00F203FC">
              <w:rPr>
                <w:rFonts w:ascii="Times New Roman" w:hAnsi="Times New Roman" w:cs="Times New Roman"/>
                <w:sz w:val="24"/>
                <w:szCs w:val="24"/>
              </w:rPr>
              <w:t>This element addresses program promotion, student recruitment and strategies that support access and equity for various student populations, including by gender, race and ethnicity, and special population status (such as individuals with disabilities, English learners, homeless, youth in or out of foster care, youth with a parent in armed forces, economically disadvantaged, single parent, or nontraditional, out-of-workforce).</w:t>
            </w:r>
          </w:p>
          <w:p w14:paraId="55A4AE31" w14:textId="3D9F3029" w:rsidR="00A919AA" w:rsidRPr="00F203FC" w:rsidRDefault="00A919AA" w:rsidP="00F203FC">
            <w:pPr>
              <w:spacing w:after="0" w:line="259" w:lineRule="auto"/>
              <w:ind w:left="370" w:right="0"/>
              <w:rPr>
                <w:rFonts w:ascii="Times New Roman" w:hAnsi="Times New Roman" w:cs="Times New Roman"/>
                <w:sz w:val="24"/>
                <w:szCs w:val="24"/>
              </w:rPr>
            </w:pPr>
          </w:p>
        </w:tc>
        <w:tc>
          <w:tcPr>
            <w:tcW w:w="5941" w:type="dxa"/>
          </w:tcPr>
          <w:p w14:paraId="5AA725D1" w14:textId="106933D5" w:rsidR="00F31827" w:rsidRDefault="00DB292C" w:rsidP="00F31827">
            <w:pPr>
              <w:spacing w:after="0" w:line="259" w:lineRule="auto"/>
              <w:ind w:right="0"/>
              <w:rPr>
                <w:rFonts w:ascii="Times New Roman" w:eastAsia="Wingdings" w:hAnsi="Times New Roman" w:cs="Times New Roman"/>
                <w:sz w:val="24"/>
                <w:szCs w:val="24"/>
              </w:rPr>
            </w:pPr>
            <w:r w:rsidRPr="009848BE">
              <w:rPr>
                <w:rFonts w:ascii="Times New Roman" w:eastAsia="Wingdings" w:hAnsi="Times New Roman" w:cs="Times New Roman"/>
                <w:b/>
                <w:sz w:val="24"/>
                <w:szCs w:val="24"/>
              </w:rPr>
              <w:t>HLC Criterion 1.B.1</w:t>
            </w:r>
            <w:r>
              <w:rPr>
                <w:rFonts w:ascii="Times New Roman" w:eastAsia="Wingdings" w:hAnsi="Times New Roman" w:cs="Times New Roman"/>
                <w:sz w:val="24"/>
                <w:szCs w:val="24"/>
              </w:rPr>
              <w:t xml:space="preserve"> – </w:t>
            </w:r>
            <w:r w:rsidRPr="00DB292C">
              <w:rPr>
                <w:rFonts w:ascii="Times New Roman" w:eastAsia="Wingdings" w:hAnsi="Times New Roman" w:cs="Times New Roman"/>
                <w:sz w:val="24"/>
                <w:szCs w:val="24"/>
              </w:rPr>
              <w:t>The institution’s actions and decisions demonstrate that its educational role is to serve the public, not solely the institution or any superordinate entity.</w:t>
            </w:r>
          </w:p>
          <w:p w14:paraId="3AA89466" w14:textId="77777777" w:rsidR="00DB292C" w:rsidRDefault="00DB292C" w:rsidP="00F31827">
            <w:pPr>
              <w:spacing w:after="0" w:line="259" w:lineRule="auto"/>
              <w:ind w:right="0"/>
              <w:rPr>
                <w:rFonts w:ascii="Times New Roman" w:eastAsia="Wingdings" w:hAnsi="Times New Roman" w:cs="Times New Roman"/>
                <w:sz w:val="24"/>
                <w:szCs w:val="24"/>
              </w:rPr>
            </w:pPr>
          </w:p>
          <w:p w14:paraId="32D80296" w14:textId="77777777" w:rsidR="00DB292C" w:rsidRDefault="00DB292C" w:rsidP="00F31827">
            <w:pPr>
              <w:spacing w:after="0" w:line="259" w:lineRule="auto"/>
              <w:ind w:right="0"/>
              <w:rPr>
                <w:rFonts w:ascii="Times New Roman" w:eastAsia="Wingdings" w:hAnsi="Times New Roman" w:cs="Times New Roman"/>
                <w:sz w:val="24"/>
                <w:szCs w:val="24"/>
              </w:rPr>
            </w:pPr>
            <w:r w:rsidRPr="009848BE">
              <w:rPr>
                <w:rFonts w:ascii="Times New Roman" w:eastAsia="Wingdings" w:hAnsi="Times New Roman" w:cs="Times New Roman"/>
                <w:b/>
                <w:sz w:val="24"/>
                <w:szCs w:val="24"/>
              </w:rPr>
              <w:t>HLC Criterion 2.B</w:t>
            </w:r>
            <w:r>
              <w:rPr>
                <w:rFonts w:ascii="Times New Roman" w:eastAsia="Wingdings" w:hAnsi="Times New Roman" w:cs="Times New Roman"/>
                <w:sz w:val="24"/>
                <w:szCs w:val="24"/>
              </w:rPr>
              <w:t xml:space="preserve"> – </w:t>
            </w:r>
            <w:r w:rsidRPr="00DB292C">
              <w:rPr>
                <w:rFonts w:ascii="Times New Roman" w:eastAsia="Wingdings" w:hAnsi="Times New Roman" w:cs="Times New Roman"/>
                <w:sz w:val="24"/>
                <w:szCs w:val="24"/>
              </w:rPr>
              <w:t>The institution presents itself clearly and completely to its students and to the public.</w:t>
            </w:r>
          </w:p>
          <w:p w14:paraId="17F94A60" w14:textId="77777777" w:rsidR="00DB292C" w:rsidRDefault="00DB292C" w:rsidP="00F31827">
            <w:pPr>
              <w:spacing w:after="0" w:line="259" w:lineRule="auto"/>
              <w:ind w:right="0"/>
              <w:rPr>
                <w:rFonts w:ascii="Times New Roman" w:eastAsia="Wingdings" w:hAnsi="Times New Roman" w:cs="Times New Roman"/>
                <w:sz w:val="24"/>
                <w:szCs w:val="24"/>
              </w:rPr>
            </w:pPr>
          </w:p>
          <w:p w14:paraId="5A855B67" w14:textId="77777777" w:rsidR="00DB292C" w:rsidRDefault="00DB292C" w:rsidP="00F31827">
            <w:pPr>
              <w:spacing w:after="0" w:line="259" w:lineRule="auto"/>
              <w:ind w:right="0"/>
              <w:rPr>
                <w:rFonts w:ascii="Times New Roman" w:eastAsia="Wingdings" w:hAnsi="Times New Roman" w:cs="Times New Roman"/>
                <w:sz w:val="24"/>
                <w:szCs w:val="24"/>
              </w:rPr>
            </w:pPr>
            <w:r w:rsidRPr="009848BE">
              <w:rPr>
                <w:rFonts w:ascii="Times New Roman" w:eastAsia="Wingdings" w:hAnsi="Times New Roman" w:cs="Times New Roman"/>
                <w:b/>
                <w:sz w:val="24"/>
                <w:szCs w:val="24"/>
              </w:rPr>
              <w:t xml:space="preserve">HLC Criterion </w:t>
            </w:r>
            <w:r w:rsidR="00541C7E" w:rsidRPr="009848BE">
              <w:rPr>
                <w:rFonts w:ascii="Times New Roman" w:eastAsia="Wingdings" w:hAnsi="Times New Roman" w:cs="Times New Roman"/>
                <w:b/>
                <w:sz w:val="24"/>
                <w:szCs w:val="24"/>
              </w:rPr>
              <w:t>3.B</w:t>
            </w:r>
            <w:r w:rsidR="00541C7E">
              <w:rPr>
                <w:rFonts w:ascii="Times New Roman" w:eastAsia="Wingdings" w:hAnsi="Times New Roman" w:cs="Times New Roman"/>
                <w:sz w:val="24"/>
                <w:szCs w:val="24"/>
              </w:rPr>
              <w:t xml:space="preserve"> – </w:t>
            </w:r>
            <w:r w:rsidR="00541C7E" w:rsidRPr="00541C7E">
              <w:rPr>
                <w:rFonts w:ascii="Times New Roman" w:eastAsia="Wingdings" w:hAnsi="Times New Roman" w:cs="Times New Roman"/>
                <w:sz w:val="24"/>
                <w:szCs w:val="24"/>
              </w:rPr>
              <w:t>The institution has the faculty and staff needed for effective, high-quality programs and student services.</w:t>
            </w:r>
          </w:p>
          <w:p w14:paraId="16AE8444" w14:textId="77777777" w:rsidR="00541C7E" w:rsidRDefault="00541C7E" w:rsidP="00F31827">
            <w:pPr>
              <w:spacing w:after="0" w:line="259" w:lineRule="auto"/>
              <w:ind w:right="0"/>
              <w:rPr>
                <w:rFonts w:ascii="Times New Roman" w:eastAsia="Wingdings" w:hAnsi="Times New Roman" w:cs="Times New Roman"/>
                <w:sz w:val="24"/>
                <w:szCs w:val="24"/>
              </w:rPr>
            </w:pPr>
          </w:p>
          <w:p w14:paraId="41308AFC" w14:textId="47CA945F" w:rsidR="00541C7E" w:rsidRDefault="00541C7E" w:rsidP="00F31827">
            <w:pPr>
              <w:spacing w:after="0" w:line="259" w:lineRule="auto"/>
              <w:ind w:right="0"/>
              <w:rPr>
                <w:rFonts w:ascii="Times New Roman" w:eastAsia="Wingdings" w:hAnsi="Times New Roman" w:cs="Times New Roman"/>
                <w:sz w:val="24"/>
                <w:szCs w:val="24"/>
              </w:rPr>
            </w:pPr>
            <w:r w:rsidRPr="009848BE">
              <w:rPr>
                <w:rFonts w:ascii="Times New Roman" w:eastAsia="Wingdings" w:hAnsi="Times New Roman" w:cs="Times New Roman"/>
                <w:b/>
                <w:sz w:val="24"/>
                <w:szCs w:val="24"/>
              </w:rPr>
              <w:lastRenderedPageBreak/>
              <w:t>HLC Criterion 3.D.2</w:t>
            </w:r>
            <w:r>
              <w:rPr>
                <w:rFonts w:ascii="Times New Roman" w:eastAsia="Wingdings" w:hAnsi="Times New Roman" w:cs="Times New Roman"/>
                <w:sz w:val="24"/>
                <w:szCs w:val="24"/>
              </w:rPr>
              <w:t xml:space="preserve"> – </w:t>
            </w:r>
            <w:r w:rsidRPr="00541C7E">
              <w:rPr>
                <w:rFonts w:ascii="Times New Roman" w:eastAsia="Wingdings" w:hAnsi="Times New Roman" w:cs="Times New Roman"/>
                <w:sz w:val="24"/>
                <w:szCs w:val="24"/>
              </w:rPr>
              <w:t>The institution provides for learning support and preparatory instruction to address the academic needs of its students. It has a process for directing entering students to courses and programs for which the students are adequately prepared.</w:t>
            </w:r>
          </w:p>
          <w:p w14:paraId="41AAE896" w14:textId="77777777" w:rsidR="009848BE" w:rsidRDefault="009848BE" w:rsidP="00F31827">
            <w:pPr>
              <w:spacing w:after="0" w:line="259" w:lineRule="auto"/>
              <w:ind w:right="0"/>
              <w:rPr>
                <w:rFonts w:ascii="Times New Roman" w:eastAsia="Wingdings" w:hAnsi="Times New Roman" w:cs="Times New Roman"/>
                <w:sz w:val="24"/>
                <w:szCs w:val="24"/>
              </w:rPr>
            </w:pPr>
          </w:p>
          <w:p w14:paraId="29BB6BD6" w14:textId="54A9A7CB" w:rsidR="00541C7E" w:rsidRPr="00F31827" w:rsidRDefault="00541C7E" w:rsidP="00F31827">
            <w:pPr>
              <w:spacing w:after="0" w:line="259" w:lineRule="auto"/>
              <w:ind w:right="0"/>
              <w:rPr>
                <w:rFonts w:ascii="Times New Roman" w:eastAsia="Wingdings" w:hAnsi="Times New Roman" w:cs="Times New Roman"/>
                <w:sz w:val="24"/>
                <w:szCs w:val="24"/>
              </w:rPr>
            </w:pPr>
            <w:r w:rsidRPr="009848BE">
              <w:rPr>
                <w:rFonts w:ascii="Times New Roman" w:eastAsia="Wingdings" w:hAnsi="Times New Roman" w:cs="Times New Roman"/>
                <w:b/>
                <w:sz w:val="24"/>
                <w:szCs w:val="24"/>
              </w:rPr>
              <w:t>HLC Assumed Practice C.7</w:t>
            </w:r>
            <w:r>
              <w:rPr>
                <w:rFonts w:ascii="Times New Roman" w:eastAsia="Wingdings" w:hAnsi="Times New Roman" w:cs="Times New Roman"/>
                <w:sz w:val="24"/>
                <w:szCs w:val="24"/>
              </w:rPr>
              <w:t xml:space="preserve"> – </w:t>
            </w:r>
            <w:r w:rsidRPr="00541C7E">
              <w:rPr>
                <w:rFonts w:ascii="Times New Roman" w:eastAsia="Wingdings" w:hAnsi="Times New Roman" w:cs="Times New Roman"/>
                <w:sz w:val="24"/>
                <w:szCs w:val="24"/>
              </w:rPr>
              <w:t>Institutional data on student retention, persistence, and completion are accurate and address the full range of students who enroll.</w:t>
            </w:r>
          </w:p>
        </w:tc>
      </w:tr>
      <w:tr w:rsidR="00F31827" w:rsidRPr="00F31827" w14:paraId="0BCDFA99" w14:textId="77777777" w:rsidTr="00A919AA">
        <w:trPr>
          <w:trHeight w:val="2044"/>
        </w:trPr>
        <w:tc>
          <w:tcPr>
            <w:tcW w:w="6384" w:type="dxa"/>
          </w:tcPr>
          <w:p w14:paraId="669B630F" w14:textId="77777777" w:rsidR="00F203FC" w:rsidRPr="00F203FC" w:rsidRDefault="00F203FC" w:rsidP="00F203FC">
            <w:pPr>
              <w:pStyle w:val="ListParagraph"/>
              <w:numPr>
                <w:ilvl w:val="0"/>
                <w:numId w:val="5"/>
              </w:numPr>
              <w:spacing w:after="0" w:line="259" w:lineRule="auto"/>
              <w:ind w:right="0"/>
              <w:rPr>
                <w:rFonts w:ascii="Times New Roman" w:hAnsi="Times New Roman" w:cs="Times New Roman"/>
                <w:b/>
                <w:sz w:val="24"/>
                <w:szCs w:val="24"/>
              </w:rPr>
            </w:pPr>
            <w:r w:rsidRPr="00F203FC">
              <w:rPr>
                <w:rFonts w:ascii="Times New Roman" w:hAnsi="Times New Roman" w:cs="Times New Roman"/>
                <w:b/>
                <w:sz w:val="24"/>
                <w:szCs w:val="24"/>
              </w:rPr>
              <w:lastRenderedPageBreak/>
              <w:t>Facilities, Equipment, Technology and Materials</w:t>
            </w:r>
          </w:p>
          <w:p w14:paraId="64ABED28" w14:textId="72342E08" w:rsidR="00F31827" w:rsidRPr="00F203FC" w:rsidRDefault="00F203FC" w:rsidP="00F203FC">
            <w:pPr>
              <w:spacing w:after="0" w:line="259" w:lineRule="auto"/>
              <w:ind w:left="310" w:right="0" w:firstLine="0"/>
              <w:rPr>
                <w:rFonts w:ascii="Times New Roman" w:hAnsi="Times New Roman" w:cs="Times New Roman"/>
                <w:sz w:val="24"/>
                <w:szCs w:val="24"/>
              </w:rPr>
            </w:pPr>
            <w:r w:rsidRPr="00F203FC">
              <w:rPr>
                <w:rFonts w:ascii="Times New Roman" w:hAnsi="Times New Roman" w:cs="Times New Roman"/>
                <w:sz w:val="24"/>
                <w:szCs w:val="24"/>
              </w:rPr>
              <w:t>This element addresses the alignment, appropriateness and safety of the physical/material components of the program, including laboratories, classrooms, computers, industry-specific equipment, and tools and supplies that support learning.</w:t>
            </w:r>
          </w:p>
        </w:tc>
        <w:tc>
          <w:tcPr>
            <w:tcW w:w="5941" w:type="dxa"/>
          </w:tcPr>
          <w:p w14:paraId="32B60441" w14:textId="413C08C7" w:rsidR="00541C7E" w:rsidRPr="00F31827" w:rsidRDefault="00541C7E" w:rsidP="00541C7E">
            <w:pPr>
              <w:spacing w:after="0" w:line="259" w:lineRule="auto"/>
              <w:ind w:right="0"/>
              <w:rPr>
                <w:rFonts w:ascii="Times New Roman" w:eastAsia="Wingdings" w:hAnsi="Times New Roman" w:cs="Times New Roman"/>
                <w:sz w:val="24"/>
                <w:szCs w:val="24"/>
              </w:rPr>
            </w:pPr>
            <w:r w:rsidRPr="009848BE">
              <w:rPr>
                <w:rFonts w:ascii="Times New Roman" w:eastAsia="Wingdings" w:hAnsi="Times New Roman" w:cs="Times New Roman"/>
                <w:b/>
                <w:sz w:val="24"/>
                <w:szCs w:val="24"/>
              </w:rPr>
              <w:t>HLC Criterion 3.D.4</w:t>
            </w:r>
            <w:r>
              <w:rPr>
                <w:rFonts w:ascii="Times New Roman" w:eastAsia="Wingdings" w:hAnsi="Times New Roman" w:cs="Times New Roman"/>
                <w:sz w:val="24"/>
                <w:szCs w:val="24"/>
              </w:rPr>
              <w:t xml:space="preserve"> – </w:t>
            </w:r>
            <w:r w:rsidRPr="00541C7E">
              <w:rPr>
                <w:rFonts w:ascii="Times New Roman" w:eastAsia="Wingdings" w:hAnsi="Times New Roman" w:cs="Times New Roman"/>
                <w:sz w:val="24"/>
                <w:szCs w:val="24"/>
              </w:rPr>
              <w:t>The institution provides to students and instructors the infrastructure and resources necessary to support effective teaching and learning (technological infrastructure, scientific laboratories, libraries, performance spaces, clinical practice sites and museum collections, as appropriate to the institution’s offerings).</w:t>
            </w:r>
            <w:r>
              <w:rPr>
                <w:rFonts w:ascii="Times New Roman" w:eastAsia="Wingdings" w:hAnsi="Times New Roman" w:cs="Times New Roman"/>
                <w:sz w:val="24"/>
                <w:szCs w:val="24"/>
              </w:rPr>
              <w:t xml:space="preserve"> </w:t>
            </w:r>
          </w:p>
        </w:tc>
      </w:tr>
      <w:tr w:rsidR="00F31827" w:rsidRPr="00F31827" w14:paraId="5F4A0A60" w14:textId="77777777" w:rsidTr="00F31827">
        <w:trPr>
          <w:trHeight w:val="2530"/>
        </w:trPr>
        <w:tc>
          <w:tcPr>
            <w:tcW w:w="6384" w:type="dxa"/>
          </w:tcPr>
          <w:p w14:paraId="183B8B8C" w14:textId="77777777" w:rsidR="00F203FC" w:rsidRPr="00F203FC" w:rsidRDefault="00F203FC" w:rsidP="00F203FC">
            <w:pPr>
              <w:pStyle w:val="ListParagraph"/>
              <w:numPr>
                <w:ilvl w:val="0"/>
                <w:numId w:val="5"/>
              </w:numPr>
              <w:autoSpaceDE w:val="0"/>
              <w:autoSpaceDN w:val="0"/>
              <w:adjustRightInd w:val="0"/>
              <w:spacing w:after="0" w:line="240" w:lineRule="auto"/>
              <w:ind w:right="0"/>
              <w:rPr>
                <w:rFonts w:ascii="Times New Roman" w:eastAsiaTheme="minorEastAsia" w:hAnsi="Times New Roman" w:cs="Times New Roman"/>
                <w:b/>
                <w:color w:val="auto"/>
                <w:sz w:val="24"/>
                <w:szCs w:val="24"/>
              </w:rPr>
            </w:pPr>
            <w:r w:rsidRPr="00F203FC">
              <w:rPr>
                <w:rFonts w:ascii="Times New Roman" w:eastAsiaTheme="minorEastAsia" w:hAnsi="Times New Roman" w:cs="Times New Roman"/>
                <w:b/>
                <w:color w:val="auto"/>
                <w:sz w:val="24"/>
                <w:szCs w:val="24"/>
              </w:rPr>
              <w:t>Business and Community Partnerships</w:t>
            </w:r>
          </w:p>
          <w:p w14:paraId="1CB91D8E" w14:textId="3F65411E" w:rsidR="00F31827" w:rsidRPr="00F203FC" w:rsidRDefault="00F203FC" w:rsidP="00F203FC">
            <w:pPr>
              <w:autoSpaceDE w:val="0"/>
              <w:autoSpaceDN w:val="0"/>
              <w:adjustRightInd w:val="0"/>
              <w:spacing w:after="0" w:line="240" w:lineRule="auto"/>
              <w:ind w:left="360" w:right="0" w:firstLine="0"/>
              <w:rPr>
                <w:rFonts w:ascii="Times New Roman" w:eastAsiaTheme="minorEastAsia" w:hAnsi="Times New Roman" w:cs="Times New Roman"/>
                <w:color w:val="auto"/>
                <w:sz w:val="24"/>
                <w:szCs w:val="24"/>
              </w:rPr>
            </w:pPr>
            <w:r w:rsidRPr="00F203FC">
              <w:rPr>
                <w:rFonts w:ascii="Times New Roman" w:eastAsiaTheme="minorEastAsia" w:hAnsi="Times New Roman" w:cs="Times New Roman"/>
                <w:color w:val="auto"/>
                <w:sz w:val="24"/>
                <w:szCs w:val="24"/>
              </w:rPr>
              <w:t>This element addresses business and community partner recruitment, partnership structure and the wide variety of activities partners should be engaged in to support the program and ensure programs are aligned with workforce needs.</w:t>
            </w:r>
          </w:p>
        </w:tc>
        <w:tc>
          <w:tcPr>
            <w:tcW w:w="5941" w:type="dxa"/>
          </w:tcPr>
          <w:p w14:paraId="45A2F1C2" w14:textId="75C1C593" w:rsidR="009934D2" w:rsidRPr="009934D2" w:rsidRDefault="009934D2" w:rsidP="009934D2">
            <w:pPr>
              <w:spacing w:after="0" w:line="259" w:lineRule="auto"/>
              <w:ind w:right="0"/>
              <w:rPr>
                <w:rFonts w:ascii="Times New Roman" w:eastAsia="Wingdings" w:hAnsi="Times New Roman" w:cs="Times New Roman"/>
                <w:sz w:val="24"/>
                <w:szCs w:val="24"/>
              </w:rPr>
            </w:pPr>
            <w:r w:rsidRPr="009848BE">
              <w:rPr>
                <w:rFonts w:ascii="Times New Roman" w:eastAsia="Wingdings" w:hAnsi="Times New Roman" w:cs="Times New Roman"/>
                <w:b/>
                <w:sz w:val="24"/>
                <w:szCs w:val="24"/>
              </w:rPr>
              <w:t>HLC Criterion 5.C.2</w:t>
            </w:r>
            <w:r>
              <w:rPr>
                <w:rFonts w:ascii="Times New Roman" w:eastAsia="Wingdings" w:hAnsi="Times New Roman" w:cs="Times New Roman"/>
                <w:sz w:val="24"/>
                <w:szCs w:val="24"/>
              </w:rPr>
              <w:t xml:space="preserve"> – </w:t>
            </w:r>
            <w:r w:rsidRPr="009934D2">
              <w:rPr>
                <w:rFonts w:ascii="Times New Roman" w:eastAsia="Wingdings" w:hAnsi="Times New Roman" w:cs="Times New Roman"/>
                <w:sz w:val="24"/>
                <w:szCs w:val="24"/>
              </w:rPr>
              <w:t>The institution links its processes for assessment of student learning, evaluation of operations, planning and budgeting.</w:t>
            </w:r>
          </w:p>
          <w:p w14:paraId="245793DB" w14:textId="77777777" w:rsidR="009934D2" w:rsidRDefault="009934D2" w:rsidP="009934D2">
            <w:pPr>
              <w:spacing w:after="0" w:line="259" w:lineRule="auto"/>
              <w:ind w:right="0"/>
              <w:rPr>
                <w:rFonts w:ascii="Times New Roman" w:eastAsia="Wingdings" w:hAnsi="Times New Roman" w:cs="Times New Roman"/>
                <w:sz w:val="24"/>
                <w:szCs w:val="24"/>
              </w:rPr>
            </w:pPr>
          </w:p>
          <w:p w14:paraId="04AF973F" w14:textId="5AF24BA2" w:rsidR="00F31827" w:rsidRPr="00F31827" w:rsidRDefault="009934D2" w:rsidP="009934D2">
            <w:pPr>
              <w:spacing w:after="0" w:line="259" w:lineRule="auto"/>
              <w:ind w:right="0"/>
              <w:rPr>
                <w:rFonts w:ascii="Times New Roman" w:eastAsia="Wingdings" w:hAnsi="Times New Roman" w:cs="Times New Roman"/>
                <w:sz w:val="24"/>
                <w:szCs w:val="24"/>
              </w:rPr>
            </w:pPr>
            <w:r w:rsidRPr="009848BE">
              <w:rPr>
                <w:rFonts w:ascii="Times New Roman" w:eastAsia="Wingdings" w:hAnsi="Times New Roman" w:cs="Times New Roman"/>
                <w:b/>
                <w:sz w:val="24"/>
                <w:szCs w:val="24"/>
              </w:rPr>
              <w:t>HLC Criterion 5.C.3</w:t>
            </w:r>
            <w:r>
              <w:rPr>
                <w:rFonts w:ascii="Times New Roman" w:eastAsia="Wingdings" w:hAnsi="Times New Roman" w:cs="Times New Roman"/>
                <w:sz w:val="24"/>
                <w:szCs w:val="24"/>
              </w:rPr>
              <w:t xml:space="preserve"> – </w:t>
            </w:r>
            <w:r w:rsidRPr="009934D2">
              <w:rPr>
                <w:rFonts w:ascii="Times New Roman" w:eastAsia="Wingdings" w:hAnsi="Times New Roman" w:cs="Times New Roman"/>
                <w:sz w:val="24"/>
                <w:szCs w:val="24"/>
              </w:rPr>
              <w:t>The planning process encompasses the institution as a whole and considers the perspectives of internal and external constituent groups.</w:t>
            </w:r>
          </w:p>
        </w:tc>
      </w:tr>
      <w:tr w:rsidR="00F203FC" w:rsidRPr="00F31827" w14:paraId="5765F9DB" w14:textId="77777777" w:rsidTr="00F31827">
        <w:trPr>
          <w:trHeight w:val="2530"/>
        </w:trPr>
        <w:tc>
          <w:tcPr>
            <w:tcW w:w="6384" w:type="dxa"/>
          </w:tcPr>
          <w:p w14:paraId="25C33BBF" w14:textId="77777777" w:rsidR="00F203FC" w:rsidRPr="00F203FC" w:rsidRDefault="00F203FC" w:rsidP="00F203FC">
            <w:pPr>
              <w:pStyle w:val="ListParagraph"/>
              <w:numPr>
                <w:ilvl w:val="0"/>
                <w:numId w:val="5"/>
              </w:numPr>
              <w:autoSpaceDE w:val="0"/>
              <w:autoSpaceDN w:val="0"/>
              <w:adjustRightInd w:val="0"/>
              <w:spacing w:after="0" w:line="240" w:lineRule="auto"/>
              <w:ind w:right="0"/>
              <w:rPr>
                <w:rFonts w:ascii="Times New Roman" w:eastAsiaTheme="minorEastAsia" w:hAnsi="Times New Roman" w:cs="Times New Roman"/>
                <w:b/>
                <w:color w:val="auto"/>
                <w:sz w:val="24"/>
                <w:szCs w:val="24"/>
              </w:rPr>
            </w:pPr>
            <w:r w:rsidRPr="00F203FC">
              <w:rPr>
                <w:rFonts w:ascii="Times New Roman" w:eastAsiaTheme="minorEastAsia" w:hAnsi="Times New Roman" w:cs="Times New Roman"/>
                <w:b/>
                <w:color w:val="auto"/>
                <w:sz w:val="24"/>
                <w:szCs w:val="24"/>
              </w:rPr>
              <w:lastRenderedPageBreak/>
              <w:t>Student Career Development:</w:t>
            </w:r>
          </w:p>
          <w:p w14:paraId="2B141040" w14:textId="4DD7CF80" w:rsidR="00F203FC" w:rsidRPr="00F203FC" w:rsidRDefault="00F203FC" w:rsidP="00F203FC">
            <w:pPr>
              <w:pStyle w:val="ListParagraph"/>
              <w:autoSpaceDE w:val="0"/>
              <w:autoSpaceDN w:val="0"/>
              <w:adjustRightInd w:val="0"/>
              <w:spacing w:after="0" w:line="240" w:lineRule="auto"/>
              <w:ind w:right="0" w:firstLine="0"/>
              <w:rPr>
                <w:rFonts w:ascii="Times New Roman" w:eastAsiaTheme="minorEastAsia" w:hAnsi="Times New Roman" w:cs="Times New Roman"/>
                <w:color w:val="auto"/>
                <w:sz w:val="24"/>
                <w:szCs w:val="24"/>
              </w:rPr>
            </w:pPr>
            <w:r w:rsidRPr="00F203FC">
              <w:rPr>
                <w:rFonts w:ascii="Times New Roman" w:eastAsiaTheme="minorEastAsia" w:hAnsi="Times New Roman" w:cs="Times New Roman"/>
                <w:color w:val="auto"/>
                <w:sz w:val="24"/>
                <w:szCs w:val="24"/>
              </w:rPr>
              <w:t>This element addresses strategies that help students gain career knowledge and engage in education and career planning, decision-making, including career counseling, career assessments, curricula that helps students learn about careers, information about educational opportunities and workforce trends, and job search information and placement services.</w:t>
            </w:r>
          </w:p>
        </w:tc>
        <w:tc>
          <w:tcPr>
            <w:tcW w:w="5941" w:type="dxa"/>
          </w:tcPr>
          <w:p w14:paraId="3BC032B4" w14:textId="2CB1EF28" w:rsidR="00F203FC" w:rsidRPr="00F31827" w:rsidRDefault="009934D2" w:rsidP="00F31827">
            <w:pPr>
              <w:spacing w:after="0" w:line="259" w:lineRule="auto"/>
              <w:ind w:right="0"/>
              <w:rPr>
                <w:rFonts w:ascii="Times New Roman" w:eastAsia="Wingdings" w:hAnsi="Times New Roman" w:cs="Times New Roman"/>
                <w:sz w:val="24"/>
                <w:szCs w:val="24"/>
              </w:rPr>
            </w:pPr>
            <w:r w:rsidRPr="009848BE">
              <w:rPr>
                <w:rFonts w:ascii="Times New Roman" w:eastAsia="Wingdings" w:hAnsi="Times New Roman" w:cs="Times New Roman"/>
                <w:b/>
                <w:sz w:val="24"/>
                <w:szCs w:val="24"/>
              </w:rPr>
              <w:t>HLC Criterion 3.D.3</w:t>
            </w:r>
            <w:r>
              <w:rPr>
                <w:rFonts w:ascii="Times New Roman" w:eastAsia="Wingdings" w:hAnsi="Times New Roman" w:cs="Times New Roman"/>
                <w:sz w:val="24"/>
                <w:szCs w:val="24"/>
              </w:rPr>
              <w:t xml:space="preserve"> – </w:t>
            </w:r>
            <w:r w:rsidRPr="009934D2">
              <w:rPr>
                <w:rFonts w:ascii="Times New Roman" w:eastAsia="Wingdings" w:hAnsi="Times New Roman" w:cs="Times New Roman"/>
                <w:sz w:val="24"/>
                <w:szCs w:val="24"/>
              </w:rPr>
              <w:t xml:space="preserve">The institution provides academic </w:t>
            </w:r>
            <w:r>
              <w:rPr>
                <w:rFonts w:ascii="Times New Roman" w:eastAsia="Wingdings" w:hAnsi="Times New Roman" w:cs="Times New Roman"/>
                <w:sz w:val="24"/>
                <w:szCs w:val="24"/>
              </w:rPr>
              <w:t xml:space="preserve">[and career] </w:t>
            </w:r>
            <w:r w:rsidRPr="009934D2">
              <w:rPr>
                <w:rFonts w:ascii="Times New Roman" w:eastAsia="Wingdings" w:hAnsi="Times New Roman" w:cs="Times New Roman"/>
                <w:sz w:val="24"/>
                <w:szCs w:val="24"/>
              </w:rPr>
              <w:t>advising suited to its offerings and the needs of its studen</w:t>
            </w:r>
            <w:bookmarkStart w:id="0" w:name="_GoBack"/>
            <w:bookmarkEnd w:id="0"/>
            <w:r w:rsidRPr="009934D2">
              <w:rPr>
                <w:rFonts w:ascii="Times New Roman" w:eastAsia="Wingdings" w:hAnsi="Times New Roman" w:cs="Times New Roman"/>
                <w:sz w:val="24"/>
                <w:szCs w:val="24"/>
              </w:rPr>
              <w:t>ts.</w:t>
            </w:r>
          </w:p>
        </w:tc>
      </w:tr>
      <w:tr w:rsidR="00F203FC" w:rsidRPr="00F31827" w14:paraId="28A8B578" w14:textId="77777777" w:rsidTr="00F31827">
        <w:trPr>
          <w:trHeight w:val="2530"/>
        </w:trPr>
        <w:tc>
          <w:tcPr>
            <w:tcW w:w="6384" w:type="dxa"/>
          </w:tcPr>
          <w:p w14:paraId="11FD9B5C" w14:textId="77777777" w:rsidR="00F203FC" w:rsidRPr="00F203FC" w:rsidRDefault="00F203FC" w:rsidP="00F203FC">
            <w:pPr>
              <w:pStyle w:val="ListParagraph"/>
              <w:numPr>
                <w:ilvl w:val="0"/>
                <w:numId w:val="5"/>
              </w:numPr>
              <w:autoSpaceDE w:val="0"/>
              <w:autoSpaceDN w:val="0"/>
              <w:adjustRightInd w:val="0"/>
              <w:spacing w:after="0" w:line="240" w:lineRule="auto"/>
              <w:ind w:right="0"/>
              <w:rPr>
                <w:rFonts w:ascii="Times New Roman" w:eastAsiaTheme="minorEastAsia" w:hAnsi="Times New Roman" w:cs="Times New Roman"/>
                <w:b/>
                <w:color w:val="auto"/>
                <w:sz w:val="24"/>
                <w:szCs w:val="24"/>
              </w:rPr>
            </w:pPr>
            <w:r w:rsidRPr="00F203FC">
              <w:rPr>
                <w:rFonts w:ascii="Times New Roman" w:eastAsiaTheme="minorEastAsia" w:hAnsi="Times New Roman" w:cs="Times New Roman"/>
                <w:b/>
                <w:color w:val="auto"/>
                <w:sz w:val="24"/>
                <w:szCs w:val="24"/>
              </w:rPr>
              <w:t>Leadership opportunities:</w:t>
            </w:r>
          </w:p>
          <w:p w14:paraId="6840B1E5" w14:textId="493DDDA8" w:rsidR="00F203FC" w:rsidRPr="00F203FC" w:rsidRDefault="00F203FC" w:rsidP="00F203FC">
            <w:pPr>
              <w:pStyle w:val="ListParagraph"/>
              <w:autoSpaceDE w:val="0"/>
              <w:autoSpaceDN w:val="0"/>
              <w:adjustRightInd w:val="0"/>
              <w:spacing w:after="0" w:line="240" w:lineRule="auto"/>
              <w:ind w:right="0" w:firstLine="0"/>
              <w:rPr>
                <w:rFonts w:ascii="Times New Roman" w:eastAsiaTheme="minorEastAsia" w:hAnsi="Times New Roman" w:cs="Times New Roman"/>
                <w:color w:val="auto"/>
                <w:sz w:val="24"/>
                <w:szCs w:val="24"/>
              </w:rPr>
            </w:pPr>
            <w:r w:rsidRPr="00F203FC">
              <w:rPr>
                <w:rFonts w:ascii="Times New Roman" w:eastAsiaTheme="minorEastAsia" w:hAnsi="Times New Roman" w:cs="Times New Roman"/>
                <w:color w:val="auto"/>
                <w:sz w:val="24"/>
                <w:szCs w:val="24"/>
              </w:rPr>
              <w:t>This element addresses Leadership opportunities, which are organizations for individuals enrolled in CTE programs that engage in activities as an integral part of the instructional program, including the delivery and availability of Leadership opportunities for student skill and leadership development.</w:t>
            </w:r>
          </w:p>
        </w:tc>
        <w:tc>
          <w:tcPr>
            <w:tcW w:w="5941" w:type="dxa"/>
          </w:tcPr>
          <w:p w14:paraId="3726D6F5" w14:textId="77777777" w:rsidR="00F203FC" w:rsidRDefault="009934D2" w:rsidP="00F31827">
            <w:pPr>
              <w:spacing w:after="0" w:line="259" w:lineRule="auto"/>
              <w:ind w:right="0"/>
              <w:rPr>
                <w:rFonts w:ascii="Times New Roman" w:eastAsia="Wingdings" w:hAnsi="Times New Roman" w:cs="Times New Roman"/>
                <w:sz w:val="24"/>
                <w:szCs w:val="24"/>
              </w:rPr>
            </w:pPr>
            <w:r w:rsidRPr="009848BE">
              <w:rPr>
                <w:rFonts w:ascii="Times New Roman" w:eastAsia="Wingdings" w:hAnsi="Times New Roman" w:cs="Times New Roman"/>
                <w:b/>
                <w:sz w:val="24"/>
                <w:szCs w:val="24"/>
              </w:rPr>
              <w:t>HLC Criterion 3.B</w:t>
            </w:r>
            <w:r>
              <w:rPr>
                <w:rFonts w:ascii="Times New Roman" w:eastAsia="Wingdings" w:hAnsi="Times New Roman" w:cs="Times New Roman"/>
                <w:sz w:val="24"/>
                <w:szCs w:val="24"/>
              </w:rPr>
              <w:t xml:space="preserve"> – </w:t>
            </w:r>
            <w:r w:rsidRPr="009934D2">
              <w:rPr>
                <w:rFonts w:ascii="Times New Roman" w:eastAsia="Wingdings" w:hAnsi="Times New Roman" w:cs="Times New Roman"/>
                <w:sz w:val="24"/>
                <w:szCs w:val="24"/>
              </w:rPr>
              <w:t>The institution offers programs that engage students in collecting, analyzing and communicating information; in mastering modes of intellectual inquiry or creative work; and in developing skills adaptable to changing environments.</w:t>
            </w:r>
          </w:p>
          <w:p w14:paraId="7BCB1D79" w14:textId="77777777" w:rsidR="009934D2" w:rsidRDefault="009934D2" w:rsidP="00F31827">
            <w:pPr>
              <w:spacing w:after="0" w:line="259" w:lineRule="auto"/>
              <w:ind w:right="0"/>
              <w:rPr>
                <w:rFonts w:ascii="Times New Roman" w:eastAsia="Wingdings" w:hAnsi="Times New Roman" w:cs="Times New Roman"/>
                <w:sz w:val="24"/>
                <w:szCs w:val="24"/>
              </w:rPr>
            </w:pPr>
          </w:p>
          <w:p w14:paraId="14F57C28" w14:textId="570A264E" w:rsidR="009934D2" w:rsidRPr="00F31827" w:rsidRDefault="009934D2" w:rsidP="00F31827">
            <w:pPr>
              <w:spacing w:after="0" w:line="259" w:lineRule="auto"/>
              <w:ind w:right="0"/>
              <w:rPr>
                <w:rFonts w:ascii="Times New Roman" w:eastAsia="Wingdings" w:hAnsi="Times New Roman" w:cs="Times New Roman"/>
                <w:sz w:val="24"/>
                <w:szCs w:val="24"/>
              </w:rPr>
            </w:pPr>
            <w:r w:rsidRPr="009848BE">
              <w:rPr>
                <w:rFonts w:ascii="Times New Roman" w:eastAsia="Wingdings" w:hAnsi="Times New Roman" w:cs="Times New Roman"/>
                <w:b/>
                <w:sz w:val="24"/>
                <w:szCs w:val="24"/>
              </w:rPr>
              <w:t>HLC Criterion 3.B.3</w:t>
            </w:r>
            <w:r>
              <w:rPr>
                <w:rFonts w:ascii="Times New Roman" w:eastAsia="Wingdings" w:hAnsi="Times New Roman" w:cs="Times New Roman"/>
                <w:sz w:val="24"/>
                <w:szCs w:val="24"/>
              </w:rPr>
              <w:t xml:space="preserve"> – </w:t>
            </w:r>
            <w:r w:rsidRPr="009934D2">
              <w:rPr>
                <w:rFonts w:ascii="Times New Roman" w:eastAsia="Wingdings" w:hAnsi="Times New Roman" w:cs="Times New Roman"/>
                <w:sz w:val="24"/>
                <w:szCs w:val="24"/>
              </w:rPr>
              <w:t>The education offered by the institution recognizes the human and cultural diversity and provides students with growth opportunities and lifelong skills to live and work in a multicultural world.</w:t>
            </w:r>
          </w:p>
        </w:tc>
      </w:tr>
      <w:tr w:rsidR="00F203FC" w:rsidRPr="00F31827" w14:paraId="104E91C4" w14:textId="77777777" w:rsidTr="00F31827">
        <w:trPr>
          <w:trHeight w:val="2530"/>
        </w:trPr>
        <w:tc>
          <w:tcPr>
            <w:tcW w:w="6384" w:type="dxa"/>
          </w:tcPr>
          <w:p w14:paraId="60C702FC" w14:textId="77777777" w:rsidR="00F203FC" w:rsidRPr="00F203FC" w:rsidRDefault="00F203FC" w:rsidP="00F203FC">
            <w:pPr>
              <w:pStyle w:val="ListParagraph"/>
              <w:numPr>
                <w:ilvl w:val="0"/>
                <w:numId w:val="5"/>
              </w:numPr>
              <w:autoSpaceDE w:val="0"/>
              <w:autoSpaceDN w:val="0"/>
              <w:adjustRightInd w:val="0"/>
              <w:spacing w:after="0" w:line="240" w:lineRule="auto"/>
              <w:ind w:right="0"/>
              <w:rPr>
                <w:rFonts w:ascii="Times New Roman" w:eastAsiaTheme="minorEastAsia" w:hAnsi="Times New Roman" w:cs="Times New Roman"/>
                <w:b/>
                <w:color w:val="auto"/>
                <w:sz w:val="24"/>
                <w:szCs w:val="24"/>
              </w:rPr>
            </w:pPr>
            <w:r w:rsidRPr="00F203FC">
              <w:rPr>
                <w:rFonts w:ascii="Times New Roman" w:eastAsiaTheme="minorEastAsia" w:hAnsi="Times New Roman" w:cs="Times New Roman"/>
                <w:b/>
                <w:color w:val="auto"/>
                <w:sz w:val="24"/>
                <w:szCs w:val="24"/>
              </w:rPr>
              <w:t>Work-based Learning:</w:t>
            </w:r>
          </w:p>
          <w:p w14:paraId="1E438241" w14:textId="77777777" w:rsidR="00F203FC" w:rsidRDefault="00F203FC" w:rsidP="00F203FC">
            <w:pPr>
              <w:pStyle w:val="ListParagraph"/>
              <w:autoSpaceDE w:val="0"/>
              <w:autoSpaceDN w:val="0"/>
              <w:adjustRightInd w:val="0"/>
              <w:spacing w:after="0" w:line="240" w:lineRule="auto"/>
              <w:ind w:right="0" w:firstLine="0"/>
              <w:rPr>
                <w:rFonts w:ascii="Times New Roman" w:eastAsiaTheme="minorEastAsia" w:hAnsi="Times New Roman" w:cs="Times New Roman"/>
                <w:color w:val="auto"/>
                <w:sz w:val="24"/>
                <w:szCs w:val="24"/>
              </w:rPr>
            </w:pPr>
            <w:r w:rsidRPr="00F203FC">
              <w:rPr>
                <w:rFonts w:ascii="Times New Roman" w:eastAsiaTheme="minorEastAsia" w:hAnsi="Times New Roman" w:cs="Times New Roman"/>
                <w:color w:val="auto"/>
                <w:sz w:val="24"/>
                <w:szCs w:val="24"/>
              </w:rPr>
              <w:t xml:space="preserve">This element addresses the delivery of a continuum of work-based learning involving sustained, meaningful interactions with industry or community professionals that foster in-depth, firsthand engagement with the tasks required in a given career field. Experiences may be delivered in workplaces, in the community, at educational institutions and/or virtually, as appropriate, and include a range of activities such as lab simulations, school-based enterprises, internships and apprenticeships. </w:t>
            </w:r>
            <w:r w:rsidRPr="009934D2">
              <w:rPr>
                <w:rFonts w:ascii="Times New Roman" w:eastAsiaTheme="minorEastAsia" w:hAnsi="Times New Roman" w:cs="Times New Roman"/>
                <w:color w:val="auto"/>
                <w:sz w:val="24"/>
                <w:szCs w:val="24"/>
                <w:highlight w:val="yellow"/>
              </w:rPr>
              <w:t>Although not required for Community College</w:t>
            </w:r>
            <w:r w:rsidRPr="00F203FC">
              <w:rPr>
                <w:rFonts w:ascii="Times New Roman" w:eastAsiaTheme="minorEastAsia" w:hAnsi="Times New Roman" w:cs="Times New Roman"/>
                <w:color w:val="auto"/>
                <w:sz w:val="24"/>
                <w:szCs w:val="24"/>
              </w:rPr>
              <w:t>, how does a CTED provide WBL experiences?</w:t>
            </w:r>
          </w:p>
          <w:p w14:paraId="6FE62725" w14:textId="491DFB6E" w:rsidR="00A919AA" w:rsidRPr="00F203FC" w:rsidRDefault="00A919AA" w:rsidP="00F203FC">
            <w:pPr>
              <w:pStyle w:val="ListParagraph"/>
              <w:autoSpaceDE w:val="0"/>
              <w:autoSpaceDN w:val="0"/>
              <w:adjustRightInd w:val="0"/>
              <w:spacing w:after="0" w:line="240" w:lineRule="auto"/>
              <w:ind w:right="0" w:firstLine="0"/>
              <w:rPr>
                <w:rFonts w:ascii="Times New Roman" w:eastAsiaTheme="minorEastAsia" w:hAnsi="Times New Roman" w:cs="Times New Roman"/>
                <w:color w:val="auto"/>
                <w:sz w:val="24"/>
                <w:szCs w:val="24"/>
              </w:rPr>
            </w:pPr>
          </w:p>
        </w:tc>
        <w:tc>
          <w:tcPr>
            <w:tcW w:w="5941" w:type="dxa"/>
          </w:tcPr>
          <w:p w14:paraId="6B78B1EC" w14:textId="09E017FC" w:rsidR="00F203FC" w:rsidRPr="00F31827" w:rsidRDefault="009934D2" w:rsidP="00F31827">
            <w:pPr>
              <w:spacing w:after="0" w:line="259" w:lineRule="auto"/>
              <w:ind w:right="0"/>
              <w:rPr>
                <w:rFonts w:ascii="Times New Roman" w:eastAsia="Wingdings" w:hAnsi="Times New Roman" w:cs="Times New Roman"/>
                <w:sz w:val="24"/>
                <w:szCs w:val="24"/>
              </w:rPr>
            </w:pPr>
            <w:r>
              <w:rPr>
                <w:rFonts w:ascii="Times New Roman" w:eastAsia="Wingdings" w:hAnsi="Times New Roman" w:cs="Times New Roman"/>
                <w:sz w:val="24"/>
                <w:szCs w:val="24"/>
              </w:rPr>
              <w:t>(Colleges engage in work-based learning to differing extents based upon their missions. This is not explicitly called out in the HLC Criteria for Accreditation.)</w:t>
            </w:r>
          </w:p>
        </w:tc>
      </w:tr>
      <w:tr w:rsidR="00F203FC" w:rsidRPr="00F31827" w14:paraId="6FB4E6BB" w14:textId="77777777" w:rsidTr="00A919AA">
        <w:trPr>
          <w:trHeight w:val="1790"/>
        </w:trPr>
        <w:tc>
          <w:tcPr>
            <w:tcW w:w="6384" w:type="dxa"/>
          </w:tcPr>
          <w:p w14:paraId="5C39FD35" w14:textId="77777777" w:rsidR="00F203FC" w:rsidRPr="00F203FC" w:rsidRDefault="00F203FC" w:rsidP="00F203FC">
            <w:pPr>
              <w:pStyle w:val="ListParagraph"/>
              <w:numPr>
                <w:ilvl w:val="0"/>
                <w:numId w:val="5"/>
              </w:numPr>
              <w:autoSpaceDE w:val="0"/>
              <w:autoSpaceDN w:val="0"/>
              <w:adjustRightInd w:val="0"/>
              <w:spacing w:after="0" w:line="240" w:lineRule="auto"/>
              <w:ind w:right="0"/>
              <w:rPr>
                <w:rFonts w:ascii="Times New Roman" w:eastAsiaTheme="minorEastAsia" w:hAnsi="Times New Roman" w:cs="Times New Roman"/>
                <w:b/>
                <w:color w:val="auto"/>
                <w:sz w:val="24"/>
                <w:szCs w:val="24"/>
              </w:rPr>
            </w:pPr>
            <w:r w:rsidRPr="00F203FC">
              <w:rPr>
                <w:rFonts w:ascii="Times New Roman" w:eastAsiaTheme="minorEastAsia" w:hAnsi="Times New Roman" w:cs="Times New Roman"/>
                <w:b/>
                <w:color w:val="auto"/>
                <w:sz w:val="24"/>
                <w:szCs w:val="24"/>
              </w:rPr>
              <w:lastRenderedPageBreak/>
              <w:t>Data and Program Improvement at CTED Level</w:t>
            </w:r>
          </w:p>
          <w:p w14:paraId="0E0E778B" w14:textId="37B3B66B" w:rsidR="00F203FC" w:rsidRPr="00A919AA" w:rsidRDefault="00F203FC" w:rsidP="00F203FC">
            <w:pPr>
              <w:pStyle w:val="ListParagraph"/>
              <w:autoSpaceDE w:val="0"/>
              <w:autoSpaceDN w:val="0"/>
              <w:adjustRightInd w:val="0"/>
              <w:spacing w:after="0" w:line="240" w:lineRule="auto"/>
              <w:ind w:right="0" w:firstLine="0"/>
              <w:rPr>
                <w:rFonts w:ascii="Times New Roman" w:eastAsiaTheme="minorEastAsia" w:hAnsi="Times New Roman" w:cs="Times New Roman"/>
                <w:color w:val="auto"/>
                <w:sz w:val="24"/>
                <w:szCs w:val="24"/>
              </w:rPr>
            </w:pPr>
            <w:r w:rsidRPr="00A919AA">
              <w:rPr>
                <w:rFonts w:ascii="Times New Roman" w:eastAsiaTheme="minorEastAsia" w:hAnsi="Times New Roman" w:cs="Times New Roman"/>
                <w:color w:val="auto"/>
                <w:sz w:val="24"/>
                <w:szCs w:val="24"/>
              </w:rPr>
              <w:t>This element addresses collection, reporting and use of data for continuous evaluation and program improvement, as well as appropriate access to relevant data.</w:t>
            </w:r>
          </w:p>
        </w:tc>
        <w:tc>
          <w:tcPr>
            <w:tcW w:w="5941" w:type="dxa"/>
          </w:tcPr>
          <w:p w14:paraId="40267470" w14:textId="77777777" w:rsidR="00F203FC" w:rsidRDefault="009934D2" w:rsidP="00F31827">
            <w:pPr>
              <w:spacing w:after="0" w:line="259" w:lineRule="auto"/>
              <w:ind w:right="0"/>
              <w:rPr>
                <w:rFonts w:ascii="Times New Roman" w:eastAsia="Wingdings" w:hAnsi="Times New Roman" w:cs="Times New Roman"/>
                <w:sz w:val="24"/>
                <w:szCs w:val="24"/>
              </w:rPr>
            </w:pPr>
            <w:r w:rsidRPr="009848BE">
              <w:rPr>
                <w:rFonts w:ascii="Times New Roman" w:eastAsia="Wingdings" w:hAnsi="Times New Roman" w:cs="Times New Roman"/>
                <w:b/>
                <w:sz w:val="24"/>
                <w:szCs w:val="24"/>
              </w:rPr>
              <w:t>HLC Criterion 4.A.1</w:t>
            </w:r>
            <w:r>
              <w:rPr>
                <w:rFonts w:ascii="Times New Roman" w:eastAsia="Wingdings" w:hAnsi="Times New Roman" w:cs="Times New Roman"/>
                <w:sz w:val="24"/>
                <w:szCs w:val="24"/>
              </w:rPr>
              <w:t xml:space="preserve"> –</w:t>
            </w:r>
            <w:r>
              <w:t xml:space="preserve"> </w:t>
            </w:r>
            <w:r w:rsidRPr="009934D2">
              <w:rPr>
                <w:rFonts w:ascii="Times New Roman" w:eastAsia="Wingdings" w:hAnsi="Times New Roman" w:cs="Times New Roman"/>
                <w:sz w:val="24"/>
                <w:szCs w:val="24"/>
              </w:rPr>
              <w:t>The institution maintains a practice of regular program reviews and acts upon the findings.</w:t>
            </w:r>
          </w:p>
          <w:p w14:paraId="270E2E81" w14:textId="77777777" w:rsidR="009934D2" w:rsidRDefault="009934D2" w:rsidP="00F31827">
            <w:pPr>
              <w:spacing w:after="0" w:line="259" w:lineRule="auto"/>
              <w:ind w:right="0"/>
              <w:rPr>
                <w:rFonts w:ascii="Times New Roman" w:eastAsia="Wingdings" w:hAnsi="Times New Roman" w:cs="Times New Roman"/>
                <w:sz w:val="24"/>
                <w:szCs w:val="24"/>
              </w:rPr>
            </w:pPr>
          </w:p>
          <w:p w14:paraId="252AF83B" w14:textId="77777777" w:rsidR="009934D2" w:rsidRDefault="009934D2" w:rsidP="00F31827">
            <w:pPr>
              <w:spacing w:after="0" w:line="259" w:lineRule="auto"/>
              <w:ind w:right="0"/>
              <w:rPr>
                <w:rFonts w:ascii="Times New Roman" w:eastAsia="Wingdings" w:hAnsi="Times New Roman" w:cs="Times New Roman"/>
                <w:sz w:val="24"/>
                <w:szCs w:val="24"/>
              </w:rPr>
            </w:pPr>
            <w:r w:rsidRPr="009848BE">
              <w:rPr>
                <w:rFonts w:ascii="Times New Roman" w:eastAsia="Wingdings" w:hAnsi="Times New Roman" w:cs="Times New Roman"/>
                <w:b/>
                <w:sz w:val="24"/>
                <w:szCs w:val="24"/>
              </w:rPr>
              <w:t>HLC Criterion 4.A.6</w:t>
            </w:r>
            <w:r>
              <w:rPr>
                <w:rFonts w:ascii="Times New Roman" w:eastAsia="Wingdings" w:hAnsi="Times New Roman" w:cs="Times New Roman"/>
                <w:sz w:val="24"/>
                <w:szCs w:val="24"/>
              </w:rPr>
              <w:t xml:space="preserve"> –</w:t>
            </w:r>
            <w:r>
              <w:t xml:space="preserve"> </w:t>
            </w:r>
            <w:r w:rsidRPr="009934D2">
              <w:rPr>
                <w:rFonts w:ascii="Times New Roman" w:eastAsia="Wingdings" w:hAnsi="Times New Roman" w:cs="Times New Roman"/>
                <w:sz w:val="24"/>
                <w:szCs w:val="24"/>
              </w:rPr>
              <w:t>The institution evaluates the success of its graduates. The institution ensures that the credentials it represents as preparation for advanced study or employment accomplish these purposes. For all programs, the institution looks to indicators it deems appropriate to its mission.</w:t>
            </w:r>
          </w:p>
          <w:p w14:paraId="14C97104" w14:textId="77777777" w:rsidR="009934D2" w:rsidRDefault="009934D2" w:rsidP="00F31827">
            <w:pPr>
              <w:spacing w:after="0" w:line="259" w:lineRule="auto"/>
              <w:ind w:right="0"/>
              <w:rPr>
                <w:rFonts w:ascii="Times New Roman" w:eastAsia="Wingdings" w:hAnsi="Times New Roman" w:cs="Times New Roman"/>
                <w:sz w:val="24"/>
                <w:szCs w:val="24"/>
              </w:rPr>
            </w:pPr>
          </w:p>
          <w:p w14:paraId="7E4B7489" w14:textId="77777777" w:rsidR="009934D2" w:rsidRDefault="009934D2" w:rsidP="00F31827">
            <w:pPr>
              <w:spacing w:after="0" w:line="259" w:lineRule="auto"/>
              <w:ind w:right="0"/>
              <w:rPr>
                <w:rFonts w:ascii="Times New Roman" w:eastAsia="Wingdings" w:hAnsi="Times New Roman" w:cs="Times New Roman"/>
                <w:sz w:val="24"/>
                <w:szCs w:val="24"/>
              </w:rPr>
            </w:pPr>
            <w:r w:rsidRPr="009848BE">
              <w:rPr>
                <w:rFonts w:ascii="Times New Roman" w:eastAsia="Wingdings" w:hAnsi="Times New Roman" w:cs="Times New Roman"/>
                <w:b/>
                <w:sz w:val="24"/>
                <w:szCs w:val="24"/>
              </w:rPr>
              <w:t>HLC Criterion 4.B.2</w:t>
            </w:r>
            <w:r>
              <w:rPr>
                <w:rFonts w:ascii="Times New Roman" w:eastAsia="Wingdings" w:hAnsi="Times New Roman" w:cs="Times New Roman"/>
                <w:sz w:val="24"/>
                <w:szCs w:val="24"/>
              </w:rPr>
              <w:t xml:space="preserve"> –</w:t>
            </w:r>
            <w:r>
              <w:t xml:space="preserve"> </w:t>
            </w:r>
            <w:r w:rsidRPr="009934D2">
              <w:rPr>
                <w:rFonts w:ascii="Times New Roman" w:eastAsia="Wingdings" w:hAnsi="Times New Roman" w:cs="Times New Roman"/>
                <w:sz w:val="24"/>
                <w:szCs w:val="24"/>
              </w:rPr>
              <w:t>The institution uses the information gained from assessment to improve student learning.</w:t>
            </w:r>
          </w:p>
          <w:p w14:paraId="589A34A8" w14:textId="77777777" w:rsidR="009934D2" w:rsidRDefault="009934D2" w:rsidP="00F31827">
            <w:pPr>
              <w:spacing w:after="0" w:line="259" w:lineRule="auto"/>
              <w:ind w:right="0"/>
              <w:rPr>
                <w:rFonts w:ascii="Times New Roman" w:eastAsia="Wingdings" w:hAnsi="Times New Roman" w:cs="Times New Roman"/>
                <w:sz w:val="24"/>
                <w:szCs w:val="24"/>
              </w:rPr>
            </w:pPr>
          </w:p>
          <w:p w14:paraId="5C0CBCD4" w14:textId="2C2F468A" w:rsidR="009934D2" w:rsidRPr="00F31827" w:rsidRDefault="009934D2" w:rsidP="00F31827">
            <w:pPr>
              <w:spacing w:after="0" w:line="259" w:lineRule="auto"/>
              <w:ind w:right="0"/>
              <w:rPr>
                <w:rFonts w:ascii="Times New Roman" w:eastAsia="Wingdings" w:hAnsi="Times New Roman" w:cs="Times New Roman"/>
                <w:sz w:val="24"/>
                <w:szCs w:val="24"/>
              </w:rPr>
            </w:pPr>
            <w:r w:rsidRPr="009848BE">
              <w:rPr>
                <w:rFonts w:ascii="Times New Roman" w:eastAsia="Wingdings" w:hAnsi="Times New Roman" w:cs="Times New Roman"/>
                <w:b/>
                <w:sz w:val="24"/>
                <w:szCs w:val="24"/>
              </w:rPr>
              <w:t>HLC Criterion 4.C.3</w:t>
            </w:r>
            <w:r>
              <w:rPr>
                <w:rFonts w:ascii="Times New Roman" w:eastAsia="Wingdings" w:hAnsi="Times New Roman" w:cs="Times New Roman"/>
                <w:sz w:val="24"/>
                <w:szCs w:val="24"/>
              </w:rPr>
              <w:t xml:space="preserve"> –</w:t>
            </w:r>
            <w:r>
              <w:t xml:space="preserve"> </w:t>
            </w:r>
            <w:r w:rsidRPr="009934D2">
              <w:rPr>
                <w:rFonts w:ascii="Times New Roman" w:eastAsia="Wingdings" w:hAnsi="Times New Roman" w:cs="Times New Roman"/>
                <w:sz w:val="24"/>
                <w:szCs w:val="24"/>
              </w:rPr>
              <w:t>The institution uses information on student retention, persistence and completion of programs to make improvements as warranted by the data.</w:t>
            </w:r>
          </w:p>
        </w:tc>
      </w:tr>
    </w:tbl>
    <w:p w14:paraId="2D2887A8" w14:textId="46347E7F" w:rsidR="007C70E6" w:rsidRPr="00F31827" w:rsidRDefault="00AF0016" w:rsidP="00AF0016">
      <w:pPr>
        <w:spacing w:after="21" w:line="259" w:lineRule="auto"/>
        <w:ind w:left="0" w:right="0" w:firstLine="0"/>
        <w:jc w:val="center"/>
        <w:rPr>
          <w:rFonts w:ascii="Times New Roman" w:hAnsi="Times New Roman" w:cs="Times New Roman"/>
          <w:sz w:val="24"/>
          <w:szCs w:val="24"/>
        </w:rPr>
      </w:pPr>
      <w:r w:rsidRPr="00F31827">
        <w:rPr>
          <w:rFonts w:ascii="Times New Roman" w:hAnsi="Times New Roman" w:cs="Times New Roman"/>
          <w:b/>
          <w:noProof/>
          <w:sz w:val="24"/>
          <w:szCs w:val="24"/>
        </w:rPr>
        <w:t xml:space="preserve"> </w:t>
      </w:r>
      <w:r w:rsidR="004F57E0" w:rsidRPr="00F31827">
        <w:rPr>
          <w:rFonts w:ascii="Times New Roman" w:eastAsia="Calibri" w:hAnsi="Times New Roman" w:cs="Times New Roman"/>
          <w:sz w:val="24"/>
          <w:szCs w:val="24"/>
        </w:rPr>
        <w:t xml:space="preserve"> </w:t>
      </w:r>
    </w:p>
    <w:p w14:paraId="40923B27" w14:textId="725640F2" w:rsidR="00A919AA" w:rsidRDefault="004F57E0" w:rsidP="003D15E6">
      <w:pPr>
        <w:spacing w:after="105" w:line="259" w:lineRule="auto"/>
        <w:ind w:left="0" w:right="0" w:firstLine="0"/>
        <w:rPr>
          <w:rFonts w:ascii="Times New Roman" w:hAnsi="Times New Roman" w:cs="Times New Roman"/>
          <w:sz w:val="24"/>
          <w:szCs w:val="24"/>
        </w:rPr>
      </w:pPr>
      <w:r w:rsidRPr="00F31827">
        <w:rPr>
          <w:rFonts w:ascii="Times New Roman" w:hAnsi="Times New Roman" w:cs="Times New Roman"/>
          <w:b/>
          <w:sz w:val="24"/>
          <w:szCs w:val="24"/>
        </w:rPr>
        <w:t xml:space="preserve"> </w:t>
      </w:r>
      <w:r w:rsidRPr="00F31827">
        <w:rPr>
          <w:rFonts w:ascii="Times New Roman" w:hAnsi="Times New Roman" w:cs="Times New Roman"/>
          <w:b/>
          <w:sz w:val="24"/>
          <w:szCs w:val="24"/>
        </w:rPr>
        <w:tab/>
      </w:r>
      <w:r w:rsidRPr="00F31827">
        <w:rPr>
          <w:rFonts w:ascii="Times New Roman" w:hAnsi="Times New Roman" w:cs="Times New Roman"/>
          <w:sz w:val="24"/>
          <w:szCs w:val="24"/>
        </w:rPr>
        <w:t xml:space="preserve">  </w:t>
      </w:r>
    </w:p>
    <w:p w14:paraId="2BD5B334" w14:textId="77777777" w:rsidR="00A919AA" w:rsidRPr="00A919AA" w:rsidRDefault="00A919AA" w:rsidP="00A919AA">
      <w:pPr>
        <w:rPr>
          <w:rFonts w:ascii="Times New Roman" w:hAnsi="Times New Roman" w:cs="Times New Roman"/>
          <w:sz w:val="24"/>
          <w:szCs w:val="24"/>
        </w:rPr>
      </w:pPr>
    </w:p>
    <w:p w14:paraId="3A67AADB" w14:textId="77777777" w:rsidR="00A919AA" w:rsidRPr="00A919AA" w:rsidRDefault="00A919AA" w:rsidP="00A919AA">
      <w:pPr>
        <w:rPr>
          <w:rFonts w:ascii="Times New Roman" w:hAnsi="Times New Roman" w:cs="Times New Roman"/>
          <w:sz w:val="24"/>
          <w:szCs w:val="24"/>
        </w:rPr>
      </w:pPr>
    </w:p>
    <w:p w14:paraId="78751C55" w14:textId="77777777" w:rsidR="00A919AA" w:rsidRPr="00A919AA" w:rsidRDefault="00A919AA" w:rsidP="00A919AA">
      <w:pPr>
        <w:rPr>
          <w:rFonts w:ascii="Times New Roman" w:hAnsi="Times New Roman" w:cs="Times New Roman"/>
          <w:sz w:val="24"/>
          <w:szCs w:val="24"/>
        </w:rPr>
      </w:pPr>
    </w:p>
    <w:p w14:paraId="7206774D" w14:textId="3FCCDE4B" w:rsidR="00A919AA" w:rsidRDefault="00A919AA" w:rsidP="00A919AA">
      <w:pPr>
        <w:rPr>
          <w:rFonts w:ascii="Times New Roman" w:hAnsi="Times New Roman" w:cs="Times New Roman"/>
          <w:sz w:val="24"/>
          <w:szCs w:val="24"/>
        </w:rPr>
      </w:pPr>
    </w:p>
    <w:p w14:paraId="58B1F210" w14:textId="77777777" w:rsidR="00A919AA" w:rsidRDefault="00A919AA" w:rsidP="00A919AA">
      <w:pPr>
        <w:rPr>
          <w:rFonts w:ascii="Times New Roman" w:hAnsi="Times New Roman" w:cs="Times New Roman"/>
          <w:sz w:val="24"/>
          <w:szCs w:val="24"/>
        </w:rPr>
      </w:pPr>
    </w:p>
    <w:p w14:paraId="3178AF00" w14:textId="2AFE4115" w:rsidR="007C70E6" w:rsidRDefault="00A919AA" w:rsidP="009848BE">
      <w:pPr>
        <w:ind w:left="1440" w:right="1440" w:firstLine="0"/>
        <w:rPr>
          <w:rFonts w:ascii="Times New Roman" w:hAnsi="Times New Roman" w:cs="Times New Roman"/>
          <w:sz w:val="24"/>
          <w:szCs w:val="24"/>
        </w:rPr>
      </w:pPr>
      <w:r>
        <w:rPr>
          <w:rFonts w:ascii="Times New Roman" w:hAnsi="Times New Roman" w:cs="Times New Roman"/>
          <w:sz w:val="24"/>
          <w:szCs w:val="24"/>
        </w:rPr>
        <w:t>ARS 15-393 (</w:t>
      </w:r>
      <w:r w:rsidRPr="00A919AA">
        <w:rPr>
          <w:rFonts w:ascii="Times New Roman" w:hAnsi="Times New Roman" w:cs="Times New Roman"/>
          <w:sz w:val="24"/>
          <w:szCs w:val="24"/>
        </w:rPr>
        <w:t>V</w:t>
      </w:r>
      <w:r>
        <w:rPr>
          <w:rFonts w:ascii="Times New Roman" w:hAnsi="Times New Roman" w:cs="Times New Roman"/>
          <w:sz w:val="24"/>
          <w:szCs w:val="24"/>
        </w:rPr>
        <w:t>)</w:t>
      </w:r>
      <w:r w:rsidRPr="00A919AA">
        <w:rPr>
          <w:rFonts w:ascii="Times New Roman" w:hAnsi="Times New Roman" w:cs="Times New Roman"/>
          <w:sz w:val="24"/>
          <w:szCs w:val="24"/>
        </w:rPr>
        <w:t xml:space="preserve"> Beginning in 2020 and every five years thereafter, the career and technical education division of the department of education shall review career technical education district programs and career technical education courses to ensure compliance, quality and eligibility. Any program or course deemed to not meet the requirements set forth by law shall not be funded for the current school year and shall be removed from the approved program and course list for the purposes of funding. The career and technical education division may establish a staggered schedule for reviewing each career technical education district.</w:t>
      </w:r>
    </w:p>
    <w:p w14:paraId="771389BC" w14:textId="4397D999" w:rsidR="009848BE" w:rsidRDefault="009848BE" w:rsidP="009848BE">
      <w:pPr>
        <w:ind w:left="1440" w:right="1440" w:firstLine="0"/>
        <w:rPr>
          <w:rFonts w:ascii="Times New Roman" w:hAnsi="Times New Roman" w:cs="Times New Roman"/>
          <w:sz w:val="24"/>
          <w:szCs w:val="24"/>
        </w:rPr>
      </w:pPr>
    </w:p>
    <w:p w14:paraId="3383966E" w14:textId="64FE9655" w:rsidR="009848BE" w:rsidRDefault="009848BE" w:rsidP="009848BE">
      <w:pPr>
        <w:ind w:left="1440" w:right="1440" w:firstLine="0"/>
        <w:rPr>
          <w:rFonts w:ascii="Times New Roman" w:hAnsi="Times New Roman" w:cs="Times New Roman"/>
          <w:sz w:val="24"/>
          <w:szCs w:val="24"/>
        </w:rPr>
      </w:pPr>
      <w:r>
        <w:rPr>
          <w:rFonts w:ascii="Times New Roman" w:hAnsi="Times New Roman" w:cs="Times New Roman"/>
          <w:sz w:val="24"/>
          <w:szCs w:val="24"/>
        </w:rPr>
        <w:t xml:space="preserve">HLC Criteria for Accreditation: </w:t>
      </w:r>
      <w:hyperlink r:id="rId8" w:history="1">
        <w:r w:rsidRPr="00230B3C">
          <w:rPr>
            <w:rStyle w:val="Hyperlink"/>
            <w:rFonts w:ascii="Times New Roman" w:hAnsi="Times New Roman" w:cs="Times New Roman"/>
            <w:sz w:val="24"/>
            <w:szCs w:val="24"/>
          </w:rPr>
          <w:t>https://www.hlcommission.org/Policies/criteria-and-core-components.html</w:t>
        </w:r>
      </w:hyperlink>
    </w:p>
    <w:p w14:paraId="798BD480" w14:textId="15DA16F8" w:rsidR="009848BE" w:rsidRDefault="009848BE" w:rsidP="009848BE">
      <w:pPr>
        <w:ind w:left="1440" w:right="1440" w:firstLine="0"/>
        <w:rPr>
          <w:rFonts w:ascii="Times New Roman" w:hAnsi="Times New Roman" w:cs="Times New Roman"/>
          <w:sz w:val="24"/>
          <w:szCs w:val="24"/>
        </w:rPr>
      </w:pPr>
    </w:p>
    <w:p w14:paraId="6AAFE4A2" w14:textId="2F6A8B92" w:rsidR="009848BE" w:rsidRDefault="009848BE" w:rsidP="009848BE">
      <w:pPr>
        <w:ind w:left="1440" w:right="1440" w:firstLine="0"/>
        <w:rPr>
          <w:rFonts w:ascii="Times New Roman" w:hAnsi="Times New Roman" w:cs="Times New Roman"/>
          <w:sz w:val="24"/>
          <w:szCs w:val="24"/>
        </w:rPr>
      </w:pPr>
      <w:r>
        <w:rPr>
          <w:rFonts w:ascii="Times New Roman" w:hAnsi="Times New Roman" w:cs="Times New Roman"/>
          <w:sz w:val="24"/>
          <w:szCs w:val="24"/>
        </w:rPr>
        <w:t xml:space="preserve">HLC Assumed Practices: </w:t>
      </w:r>
      <w:hyperlink r:id="rId9" w:history="1">
        <w:r w:rsidRPr="00230B3C">
          <w:rPr>
            <w:rStyle w:val="Hyperlink"/>
            <w:rFonts w:ascii="Times New Roman" w:hAnsi="Times New Roman" w:cs="Times New Roman"/>
            <w:sz w:val="24"/>
            <w:szCs w:val="24"/>
          </w:rPr>
          <w:t>https://www.hlcommission.org/Policies/assumed-practices.html</w:t>
        </w:r>
      </w:hyperlink>
    </w:p>
    <w:p w14:paraId="279ACAEE" w14:textId="77777777" w:rsidR="009848BE" w:rsidRPr="00A919AA" w:rsidRDefault="009848BE" w:rsidP="009848BE">
      <w:pPr>
        <w:ind w:left="1440" w:right="1440" w:firstLine="0"/>
        <w:rPr>
          <w:rFonts w:ascii="Times New Roman" w:hAnsi="Times New Roman" w:cs="Times New Roman"/>
          <w:sz w:val="24"/>
          <w:szCs w:val="24"/>
        </w:rPr>
      </w:pPr>
    </w:p>
    <w:sectPr w:rsidR="009848BE" w:rsidRPr="00A919AA" w:rsidSect="00F31827">
      <w:headerReference w:type="default" r:id="rId10"/>
      <w:footerReference w:type="default" r:id="rId11"/>
      <w:pgSz w:w="15840" w:h="12240" w:orient="landscape"/>
      <w:pgMar w:top="1008" w:right="720" w:bottom="576" w:left="720" w:header="46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C240C" w14:textId="77777777" w:rsidR="001342F7" w:rsidRDefault="001342F7" w:rsidP="003D15E6">
      <w:pPr>
        <w:spacing w:after="0" w:line="240" w:lineRule="auto"/>
      </w:pPr>
      <w:r>
        <w:separator/>
      </w:r>
    </w:p>
  </w:endnote>
  <w:endnote w:type="continuationSeparator" w:id="0">
    <w:p w14:paraId="63752B7D" w14:textId="77777777" w:rsidR="001342F7" w:rsidRDefault="001342F7" w:rsidP="003D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BAAD6" w14:textId="14ACB851" w:rsidR="009848BE" w:rsidRDefault="009848BE" w:rsidP="009848BE">
    <w:pPr>
      <w:pStyle w:val="Footer"/>
      <w:ind w:left="1454" w:right="1440" w:hanging="14"/>
    </w:pPr>
    <w:r>
      <w:t>Rev. 04/16/2021</w:t>
    </w:r>
    <w:r>
      <w:tab/>
    </w:r>
    <w:r>
      <w:ptab w:relativeTo="margin" w:alignment="center" w:leader="none"/>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6949D" w14:textId="77777777" w:rsidR="001342F7" w:rsidRDefault="001342F7" w:rsidP="003D15E6">
      <w:pPr>
        <w:spacing w:after="0" w:line="240" w:lineRule="auto"/>
      </w:pPr>
      <w:r>
        <w:separator/>
      </w:r>
    </w:p>
  </w:footnote>
  <w:footnote w:type="continuationSeparator" w:id="0">
    <w:p w14:paraId="0C8656EC" w14:textId="77777777" w:rsidR="001342F7" w:rsidRDefault="001342F7" w:rsidP="003D1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9B631" w14:textId="7F991576" w:rsidR="003D15E6" w:rsidRDefault="00F31827" w:rsidP="00F31827">
    <w:pPr>
      <w:spacing w:after="21" w:line="259" w:lineRule="auto"/>
      <w:ind w:left="-1440" w:right="-630" w:firstLine="0"/>
      <w:jc w:val="center"/>
      <w:rPr>
        <w:b/>
        <w:sz w:val="48"/>
      </w:rPr>
    </w:pPr>
    <w:r>
      <w:rPr>
        <w:b/>
        <w:sz w:val="48"/>
      </w:rPr>
      <w:t>ARS 15-393</w:t>
    </w:r>
    <w:r w:rsidR="00F203FC">
      <w:rPr>
        <w:b/>
        <w:sz w:val="48"/>
      </w:rPr>
      <w:t>(V)</w:t>
    </w:r>
    <w:r>
      <w:rPr>
        <w:b/>
        <w:sz w:val="48"/>
      </w:rPr>
      <w:t>| HLC Criteria Crosswalk</w:t>
    </w:r>
  </w:p>
  <w:p w14:paraId="36D216C7" w14:textId="77777777" w:rsidR="003D15E6" w:rsidRDefault="003D1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04B1E"/>
    <w:multiLevelType w:val="hybridMultilevel"/>
    <w:tmpl w:val="56742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76BF8"/>
    <w:multiLevelType w:val="hybridMultilevel"/>
    <w:tmpl w:val="98FA4394"/>
    <w:lvl w:ilvl="0" w:tplc="04090003">
      <w:start w:val="1"/>
      <w:numFmt w:val="bullet"/>
      <w:lvlText w:val="o"/>
      <w:lvlJc w:val="left"/>
      <w:pPr>
        <w:ind w:left="1030" w:hanging="360"/>
      </w:pPr>
      <w:rPr>
        <w:rFonts w:ascii="Courier New" w:hAnsi="Courier New"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2" w15:restartNumberingAfterBreak="0">
    <w:nsid w:val="3A8D6936"/>
    <w:multiLevelType w:val="hybridMultilevel"/>
    <w:tmpl w:val="115EA3DE"/>
    <w:lvl w:ilvl="0" w:tplc="1262AD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58B5556D"/>
    <w:multiLevelType w:val="hybridMultilevel"/>
    <w:tmpl w:val="70A6EC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FC7DAB"/>
    <w:multiLevelType w:val="hybridMultilevel"/>
    <w:tmpl w:val="C636A08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0E6"/>
    <w:rsid w:val="0003330F"/>
    <w:rsid w:val="001342F7"/>
    <w:rsid w:val="00332754"/>
    <w:rsid w:val="003D15E6"/>
    <w:rsid w:val="003E4D12"/>
    <w:rsid w:val="004F57E0"/>
    <w:rsid w:val="00541C7E"/>
    <w:rsid w:val="0065075F"/>
    <w:rsid w:val="00792773"/>
    <w:rsid w:val="007C70E6"/>
    <w:rsid w:val="009848BE"/>
    <w:rsid w:val="009934D2"/>
    <w:rsid w:val="00A919AA"/>
    <w:rsid w:val="00AF0016"/>
    <w:rsid w:val="00D1641A"/>
    <w:rsid w:val="00DB292C"/>
    <w:rsid w:val="00F203FC"/>
    <w:rsid w:val="00F31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AE609"/>
  <w15:docId w15:val="{4167AE76-4473-3A41-89E8-C77AEF85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10" w:right="2995"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AF001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D1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E6"/>
    <w:rPr>
      <w:rFonts w:ascii="Arial" w:eastAsia="Arial" w:hAnsi="Arial" w:cs="Arial"/>
      <w:color w:val="000000"/>
    </w:rPr>
  </w:style>
  <w:style w:type="paragraph" w:styleId="Footer">
    <w:name w:val="footer"/>
    <w:basedOn w:val="Normal"/>
    <w:link w:val="FooterChar"/>
    <w:uiPriority w:val="99"/>
    <w:unhideWhenUsed/>
    <w:rsid w:val="003D1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E6"/>
    <w:rPr>
      <w:rFonts w:ascii="Arial" w:eastAsia="Arial" w:hAnsi="Arial" w:cs="Arial"/>
      <w:color w:val="000000"/>
    </w:rPr>
  </w:style>
  <w:style w:type="paragraph" w:styleId="ListParagraph">
    <w:name w:val="List Paragraph"/>
    <w:basedOn w:val="Normal"/>
    <w:uiPriority w:val="34"/>
    <w:qFormat/>
    <w:rsid w:val="003D15E6"/>
    <w:pPr>
      <w:ind w:left="720"/>
      <w:contextualSpacing/>
    </w:pPr>
  </w:style>
  <w:style w:type="character" w:styleId="Hyperlink">
    <w:name w:val="Hyperlink"/>
    <w:basedOn w:val="DefaultParagraphFont"/>
    <w:uiPriority w:val="99"/>
    <w:unhideWhenUsed/>
    <w:rsid w:val="009848BE"/>
    <w:rPr>
      <w:color w:val="0563C1" w:themeColor="hyperlink"/>
      <w:u w:val="single"/>
    </w:rPr>
  </w:style>
  <w:style w:type="character" w:styleId="UnresolvedMention">
    <w:name w:val="Unresolved Mention"/>
    <w:basedOn w:val="DefaultParagraphFont"/>
    <w:uiPriority w:val="99"/>
    <w:semiHidden/>
    <w:unhideWhenUsed/>
    <w:rsid w:val="00984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lcommission.org/Policies/criteria-and-core-component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lcommission.org/Policies/assumed-pract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9F1C9-953E-4DDD-AC1A-40EDD0C90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Microsoft Word - AdjunctChecklist.docx</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AdjunctChecklist.docx</dc:title>
  <dc:subject/>
  <dc:creator>lglogoff</dc:creator>
  <cp:keywords/>
  <cp:lastModifiedBy>Nate Southerland</cp:lastModifiedBy>
  <cp:revision>4</cp:revision>
  <dcterms:created xsi:type="dcterms:W3CDTF">2021-04-16T18:03:00Z</dcterms:created>
  <dcterms:modified xsi:type="dcterms:W3CDTF">2021-04-16T18:39:00Z</dcterms:modified>
</cp:coreProperties>
</file>